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F35F0" w14:textId="59E3EF7B" w:rsidR="003415A9" w:rsidRPr="005F77CA" w:rsidRDefault="003415A9" w:rsidP="003415A9">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901C2F">
        <w:rPr>
          <w:rFonts w:ascii="Arial" w:hAnsi="Arial" w:cs="Arial"/>
          <w:b/>
          <w:sz w:val="24"/>
        </w:rPr>
        <w:t>3GPP TSG-RAN WG4 #92bis</w:t>
      </w:r>
      <w:r w:rsidRPr="00901C2F">
        <w:rPr>
          <w:rFonts w:ascii="Arial" w:hAnsi="Arial" w:cs="Arial"/>
          <w:b/>
          <w:sz w:val="24"/>
        </w:rPr>
        <w:tab/>
      </w:r>
      <w:r w:rsidRPr="00901C2F">
        <w:rPr>
          <w:rFonts w:ascii="Arial" w:hAnsi="Arial" w:cs="Arial"/>
          <w:b/>
          <w:sz w:val="24"/>
        </w:rPr>
        <w:tab/>
      </w:r>
      <w:r w:rsidR="002A1B10" w:rsidRPr="002A1B10">
        <w:rPr>
          <w:rFonts w:ascii="Arial" w:hAnsi="Arial" w:cs="Arial"/>
          <w:b/>
          <w:sz w:val="24"/>
        </w:rPr>
        <w:t>R4-1912101</w:t>
      </w:r>
      <w:bookmarkStart w:id="3" w:name="_GoBack"/>
      <w:bookmarkEnd w:id="3"/>
      <w:r w:rsidRPr="00901C2F">
        <w:rPr>
          <w:rFonts w:ascii="Arial" w:hAnsi="Arial" w:cs="Arial"/>
          <w:b/>
          <w:sz w:val="24"/>
        </w:rPr>
        <w:br/>
      </w:r>
      <w:r w:rsidRPr="0084324A">
        <w:rPr>
          <w:rFonts w:ascii="Arial" w:hAnsi="Arial" w:cs="Arial"/>
          <w:b/>
          <w:sz w:val="24"/>
        </w:rPr>
        <w:t>Chongqing, China</w:t>
      </w:r>
      <w:r w:rsidRPr="005F77CA">
        <w:rPr>
          <w:rFonts w:ascii="Arial" w:hAnsi="Arial" w:cs="Arial"/>
          <w:b/>
          <w:sz w:val="24"/>
        </w:rPr>
        <w:t xml:space="preserve">, 14 - 18 Oct 2019 </w:t>
      </w:r>
    </w:p>
    <w:bookmarkEnd w:id="0"/>
    <w:p w14:paraId="63B518FE" w14:textId="77777777" w:rsidR="003415A9" w:rsidRPr="00901C2F" w:rsidRDefault="003415A9" w:rsidP="003415A9">
      <w:pPr>
        <w:rPr>
          <w:rFonts w:ascii="Arial" w:hAnsi="Arial" w:cs="Arial"/>
          <w:b/>
          <w:sz w:val="24"/>
          <w:szCs w:val="24"/>
        </w:rPr>
      </w:pPr>
    </w:p>
    <w:p w14:paraId="358CBC30" w14:textId="77777777" w:rsidR="003415A9" w:rsidRPr="00901C2F" w:rsidRDefault="003415A9" w:rsidP="003415A9">
      <w:pPr>
        <w:tabs>
          <w:tab w:val="left" w:pos="2160"/>
        </w:tabs>
        <w:rPr>
          <w:rFonts w:ascii="Arial" w:hAnsi="Arial" w:cs="Arial"/>
          <w:b/>
          <w:sz w:val="24"/>
          <w:szCs w:val="24"/>
        </w:rPr>
      </w:pPr>
      <w:r w:rsidRPr="00901C2F">
        <w:rPr>
          <w:rFonts w:ascii="Arial" w:hAnsi="Arial" w:cs="Arial"/>
          <w:b/>
          <w:sz w:val="24"/>
          <w:szCs w:val="24"/>
        </w:rPr>
        <w:t>Agenda item:</w:t>
      </w:r>
      <w:r w:rsidRPr="00901C2F">
        <w:rPr>
          <w:rFonts w:ascii="Arial" w:hAnsi="Arial" w:cs="Arial"/>
          <w:b/>
          <w:sz w:val="24"/>
          <w:szCs w:val="24"/>
        </w:rPr>
        <w:tab/>
      </w:r>
      <w:r w:rsidRPr="00901C2F">
        <w:rPr>
          <w:rFonts w:ascii="Arial" w:hAnsi="Arial" w:cs="Arial"/>
          <w:sz w:val="24"/>
          <w:szCs w:val="24"/>
        </w:rPr>
        <w:t>10.2.3.1</w:t>
      </w:r>
    </w:p>
    <w:p w14:paraId="731C5733" w14:textId="77777777" w:rsidR="003415A9" w:rsidRPr="00901C2F" w:rsidRDefault="003415A9" w:rsidP="003415A9">
      <w:pPr>
        <w:tabs>
          <w:tab w:val="left" w:pos="2160"/>
        </w:tabs>
        <w:rPr>
          <w:rFonts w:ascii="Arial" w:hAnsi="Arial" w:cs="Arial"/>
          <w:b/>
          <w:sz w:val="24"/>
          <w:szCs w:val="24"/>
        </w:rPr>
      </w:pPr>
      <w:r w:rsidRPr="00901C2F">
        <w:rPr>
          <w:rFonts w:ascii="Arial" w:hAnsi="Arial" w:cs="Arial"/>
          <w:b/>
          <w:sz w:val="24"/>
          <w:szCs w:val="24"/>
        </w:rPr>
        <w:t>Source:</w:t>
      </w:r>
      <w:r w:rsidRPr="00901C2F">
        <w:rPr>
          <w:rFonts w:ascii="Arial" w:hAnsi="Arial" w:cs="Arial"/>
          <w:b/>
          <w:sz w:val="24"/>
          <w:szCs w:val="24"/>
        </w:rPr>
        <w:tab/>
      </w:r>
      <w:r w:rsidRPr="00901C2F">
        <w:rPr>
          <w:rFonts w:ascii="Arial" w:hAnsi="Arial" w:cs="Arial"/>
          <w:sz w:val="24"/>
          <w:szCs w:val="24"/>
        </w:rPr>
        <w:t>Keysight Technologies</w:t>
      </w:r>
    </w:p>
    <w:p w14:paraId="214A3099" w14:textId="77777777" w:rsidR="003415A9" w:rsidRPr="00901C2F" w:rsidRDefault="003415A9" w:rsidP="003415A9">
      <w:pPr>
        <w:tabs>
          <w:tab w:val="left" w:pos="2250"/>
        </w:tabs>
        <w:ind w:left="2160" w:hanging="2160"/>
        <w:rPr>
          <w:rFonts w:ascii="Arial" w:hAnsi="Arial" w:cs="Arial"/>
          <w:b/>
          <w:sz w:val="24"/>
          <w:szCs w:val="24"/>
        </w:rPr>
      </w:pPr>
      <w:r w:rsidRPr="00901C2F">
        <w:rPr>
          <w:rFonts w:ascii="Arial" w:hAnsi="Arial" w:cs="Arial"/>
          <w:b/>
          <w:sz w:val="24"/>
          <w:szCs w:val="24"/>
        </w:rPr>
        <w:t>Title:</w:t>
      </w:r>
      <w:r w:rsidRPr="00901C2F">
        <w:rPr>
          <w:rFonts w:ascii="Arial" w:hAnsi="Arial" w:cs="Arial"/>
          <w:b/>
          <w:sz w:val="24"/>
          <w:szCs w:val="24"/>
        </w:rPr>
        <w:tab/>
      </w:r>
      <w:r w:rsidRPr="00901C2F">
        <w:rPr>
          <w:rFonts w:ascii="Arial" w:hAnsi="Arial" w:cs="Arial"/>
          <w:sz w:val="24"/>
          <w:szCs w:val="24"/>
        </w:rPr>
        <w:t xml:space="preserve">Minimum </w:t>
      </w:r>
      <w:r>
        <w:rPr>
          <w:rFonts w:ascii="Arial" w:hAnsi="Arial" w:cs="Arial"/>
          <w:sz w:val="24"/>
          <w:szCs w:val="24"/>
        </w:rPr>
        <w:t>Range Length</w:t>
      </w:r>
      <w:r w:rsidRPr="00901C2F">
        <w:rPr>
          <w:rFonts w:ascii="Arial" w:hAnsi="Arial" w:cs="Arial"/>
          <w:sz w:val="24"/>
          <w:szCs w:val="24"/>
        </w:rPr>
        <w:t xml:space="preserve"> for NR FR1 2D MPAC</w:t>
      </w:r>
    </w:p>
    <w:p w14:paraId="363714CE" w14:textId="77777777" w:rsidR="003415A9" w:rsidRPr="00901C2F" w:rsidRDefault="003415A9" w:rsidP="003415A9">
      <w:pPr>
        <w:tabs>
          <w:tab w:val="left" w:pos="2160"/>
        </w:tabs>
        <w:rPr>
          <w:rFonts w:ascii="Arial" w:hAnsi="Arial" w:cs="Arial"/>
          <w:b/>
          <w:sz w:val="24"/>
          <w:szCs w:val="24"/>
        </w:rPr>
      </w:pPr>
      <w:r w:rsidRPr="00901C2F">
        <w:rPr>
          <w:rFonts w:ascii="Arial" w:hAnsi="Arial" w:cs="Arial"/>
          <w:b/>
          <w:sz w:val="24"/>
          <w:szCs w:val="24"/>
        </w:rPr>
        <w:t>Document for:</w:t>
      </w:r>
      <w:r w:rsidRPr="00901C2F">
        <w:rPr>
          <w:rFonts w:ascii="Arial" w:hAnsi="Arial" w:cs="Arial"/>
          <w:b/>
          <w:sz w:val="24"/>
          <w:szCs w:val="24"/>
        </w:rPr>
        <w:tab/>
      </w:r>
      <w:r w:rsidRPr="00901C2F">
        <w:rPr>
          <w:rFonts w:ascii="Arial" w:hAnsi="Arial" w:cs="Arial"/>
          <w:sz w:val="24"/>
          <w:szCs w:val="24"/>
        </w:rPr>
        <w:t>Approval</w:t>
      </w:r>
    </w:p>
    <w:bookmarkEnd w:id="1"/>
    <w:p w14:paraId="7A25F7A7" w14:textId="77777777" w:rsidR="003415A9" w:rsidRPr="00901C2F" w:rsidRDefault="003415A9" w:rsidP="003415A9">
      <w:pPr>
        <w:pStyle w:val="Heading1"/>
        <w:ind w:left="567" w:hanging="567"/>
      </w:pPr>
      <w:r w:rsidRPr="00901C2F">
        <w:t>Introduction</w:t>
      </w:r>
    </w:p>
    <w:p w14:paraId="1D9AB330" w14:textId="77777777" w:rsidR="003415A9" w:rsidRPr="005F77CA" w:rsidRDefault="003415A9" w:rsidP="003415A9">
      <w:pPr>
        <w:ind w:left="48"/>
      </w:pPr>
      <w:r w:rsidRPr="005F77CA">
        <w:t xml:space="preserve">This contribution is reviewing the previous agreement made in RAN4#91 on </w:t>
      </w:r>
      <w:r>
        <w:t>range lengths</w:t>
      </w:r>
      <w:r w:rsidRPr="005F77CA">
        <w:t xml:space="preserve"> for NR FR1 MIMO OTA MPAC systems </w:t>
      </w:r>
      <w:r w:rsidRPr="005F77CA">
        <w:fldChar w:fldCharType="begin"/>
      </w:r>
      <w:r w:rsidRPr="005F77CA">
        <w:instrText xml:space="preserve"> REF _Ref20941023 \r \h </w:instrText>
      </w:r>
      <w:r w:rsidRPr="005F77CA">
        <w:fldChar w:fldCharType="separate"/>
      </w:r>
      <w:r w:rsidRPr="005F77CA">
        <w:t>[1]</w:t>
      </w:r>
      <w:r w:rsidRPr="005F77CA">
        <w:fldChar w:fldCharType="end"/>
      </w:r>
      <w:r w:rsidRPr="0084324A">
        <w:t>,</w:t>
      </w:r>
      <w:r w:rsidRPr="005F77CA">
        <w:t xml:space="preserve"> i.e., </w:t>
      </w:r>
    </w:p>
    <w:p w14:paraId="52D8F31B" w14:textId="77777777" w:rsidR="003415A9" w:rsidRPr="005F77CA" w:rsidRDefault="003415A9" w:rsidP="003415A9">
      <w:pPr>
        <w:pBdr>
          <w:top w:val="single" w:sz="4" w:space="1" w:color="auto"/>
          <w:left w:val="single" w:sz="4" w:space="4" w:color="auto"/>
          <w:bottom w:val="single" w:sz="4" w:space="1" w:color="auto"/>
          <w:right w:val="single" w:sz="4" w:space="4" w:color="auto"/>
          <w:between w:val="single" w:sz="4" w:space="1" w:color="auto"/>
          <w:bar w:val="single" w:sz="4" w:color="auto"/>
        </w:pBdr>
        <w:ind w:left="48"/>
        <w:rPr>
          <w:lang w:eastAsia="ja-JP"/>
        </w:rPr>
      </w:pPr>
      <w:r w:rsidRPr="005F77CA">
        <w:rPr>
          <w:lang w:eastAsia="ja-JP"/>
        </w:rPr>
        <w:t>The measurement distance for FR1 MIMO OTA is at least 2</w:t>
      </w:r>
      <w:r w:rsidRPr="005F77CA">
        <w:rPr>
          <w:rFonts w:ascii="Symbol" w:hAnsi="Symbol"/>
          <w:lang w:eastAsia="ja-JP"/>
        </w:rPr>
        <w:t></w:t>
      </w:r>
      <w:r w:rsidRPr="0084324A">
        <w:rPr>
          <w:lang w:eastAsia="ja-JP"/>
        </w:rPr>
        <w:t xml:space="preserve"> from the edge of the test zone</w:t>
      </w:r>
    </w:p>
    <w:p w14:paraId="67F33543" w14:textId="77777777" w:rsidR="003415A9" w:rsidRPr="005F77CA" w:rsidRDefault="003415A9" w:rsidP="003415A9">
      <w:pPr>
        <w:pStyle w:val="Heading1"/>
        <w:ind w:left="567" w:hanging="567"/>
      </w:pPr>
      <w:r w:rsidRPr="005F77CA">
        <w:t>Analysis</w:t>
      </w:r>
    </w:p>
    <w:p w14:paraId="784F3F1A" w14:textId="77777777" w:rsidR="003415A9" w:rsidRDefault="003415A9" w:rsidP="003415A9">
      <w:r>
        <w:t xml:space="preserve">The minimum range length for FR1 MIMO OTA MPAC systems, based on the previous agreement, is tabulated in </w:t>
      </w:r>
      <w:r>
        <w:fldChar w:fldCharType="begin"/>
      </w:r>
      <w:r>
        <w:instrText xml:space="preserve"> REF _Ref21002342 \h </w:instrText>
      </w:r>
      <w:r>
        <w:fldChar w:fldCharType="separate"/>
      </w:r>
      <w:r>
        <w:t xml:space="preserve">Table </w:t>
      </w:r>
      <w:r>
        <w:rPr>
          <w:noProof/>
        </w:rPr>
        <w:t>1</w:t>
      </w:r>
      <w:r>
        <w:fldChar w:fldCharType="end"/>
      </w:r>
    </w:p>
    <w:p w14:paraId="1334BAA4" w14:textId="77777777" w:rsidR="003415A9" w:rsidRDefault="003415A9" w:rsidP="003415A9">
      <w:pPr>
        <w:pStyle w:val="Caption"/>
        <w:jc w:val="center"/>
      </w:pPr>
      <w:bookmarkStart w:id="4" w:name="_Ref21002342"/>
      <w:bookmarkStart w:id="5" w:name="_Ref21002338"/>
      <w:r>
        <w:t xml:space="preserve">Table </w:t>
      </w:r>
      <w:r>
        <w:fldChar w:fldCharType="begin"/>
      </w:r>
      <w:r>
        <w:instrText xml:space="preserve"> SEQ Table \* ARABIC </w:instrText>
      </w:r>
      <w:r>
        <w:fldChar w:fldCharType="separate"/>
      </w:r>
      <w:r>
        <w:rPr>
          <w:noProof/>
        </w:rPr>
        <w:t>1</w:t>
      </w:r>
      <w:r>
        <w:fldChar w:fldCharType="end"/>
      </w:r>
      <w:bookmarkEnd w:id="4"/>
      <w:r>
        <w:t>: Previously agreed measurement distance for MIMO OTA</w:t>
      </w:r>
      <w:bookmarkEnd w:id="5"/>
      <w:r>
        <w:t xml:space="preserve"> (MPAC)</w:t>
      </w:r>
    </w:p>
    <w:tbl>
      <w:tblPr>
        <w:tblW w:w="2760" w:type="dxa"/>
        <w:jc w:val="center"/>
        <w:tblLook w:val="04A0" w:firstRow="1" w:lastRow="0" w:firstColumn="1" w:lastColumn="0" w:noHBand="0" w:noVBand="1"/>
      </w:tblPr>
      <w:tblGrid>
        <w:gridCol w:w="1260"/>
        <w:gridCol w:w="1500"/>
      </w:tblGrid>
      <w:tr w:rsidR="003415A9" w:rsidRPr="00E5172C" w14:paraId="330A40ED" w14:textId="77777777" w:rsidTr="003A3CE8">
        <w:trPr>
          <w:trHeight w:val="320"/>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8D229" w14:textId="77777777" w:rsidR="003415A9" w:rsidRPr="00E5172C" w:rsidRDefault="003415A9" w:rsidP="003A3CE8">
            <w:pPr>
              <w:spacing w:after="0"/>
              <w:jc w:val="center"/>
              <w:rPr>
                <w:rFonts w:eastAsia="Times New Roman"/>
                <w:b/>
                <w:bCs/>
                <w:color w:val="000000"/>
                <w:sz w:val="22"/>
                <w:szCs w:val="22"/>
                <w:lang w:val="en-US"/>
              </w:rPr>
            </w:pPr>
            <w:r w:rsidRPr="00E5172C">
              <w:rPr>
                <w:rFonts w:eastAsia="Times New Roman"/>
                <w:b/>
                <w:bCs/>
                <w:i/>
                <w:iCs/>
                <w:color w:val="000000"/>
                <w:sz w:val="22"/>
                <w:szCs w:val="22"/>
                <w:lang w:val="en-US"/>
              </w:rPr>
              <w:t>f</w:t>
            </w:r>
            <w:r w:rsidRPr="00E5172C">
              <w:rPr>
                <w:rFonts w:eastAsia="Times New Roman"/>
                <w:b/>
                <w:bCs/>
                <w:color w:val="000000"/>
                <w:sz w:val="22"/>
                <w:szCs w:val="22"/>
                <w:lang w:val="en-US"/>
              </w:rPr>
              <w:t xml:space="preserve"> [GHz]</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6D34BA8" w14:textId="77777777" w:rsidR="003415A9" w:rsidRPr="00E5172C" w:rsidRDefault="003415A9" w:rsidP="003A3CE8">
            <w:pPr>
              <w:spacing w:after="0"/>
              <w:jc w:val="center"/>
              <w:rPr>
                <w:rFonts w:eastAsia="Times New Roman"/>
                <w:b/>
                <w:bCs/>
                <w:color w:val="000000"/>
                <w:sz w:val="22"/>
                <w:szCs w:val="22"/>
                <w:lang w:val="en-US"/>
              </w:rPr>
            </w:pPr>
            <w:r w:rsidRPr="00E5172C">
              <w:rPr>
                <w:rFonts w:eastAsia="Times New Roman"/>
                <w:b/>
                <w:bCs/>
                <w:i/>
                <w:iCs/>
                <w:color w:val="000000"/>
                <w:sz w:val="22"/>
                <w:szCs w:val="22"/>
                <w:lang w:val="en-US"/>
              </w:rPr>
              <w:t>R</w:t>
            </w:r>
            <w:r w:rsidRPr="00E5172C">
              <w:rPr>
                <w:rFonts w:eastAsia="Times New Roman"/>
                <w:b/>
                <w:bCs/>
                <w:color w:val="000000"/>
                <w:sz w:val="22"/>
                <w:szCs w:val="22"/>
                <w:vertAlign w:val="subscript"/>
                <w:lang w:val="en-US"/>
              </w:rPr>
              <w:t>TZ</w:t>
            </w:r>
            <w:r w:rsidRPr="00E5172C">
              <w:rPr>
                <w:rFonts w:eastAsia="Times New Roman"/>
                <w:b/>
                <w:bCs/>
                <w:color w:val="000000"/>
                <w:sz w:val="22"/>
                <w:szCs w:val="22"/>
                <w:lang w:val="en-US"/>
              </w:rPr>
              <w:t>+2λ [m]</w:t>
            </w:r>
          </w:p>
        </w:tc>
      </w:tr>
      <w:tr w:rsidR="003415A9" w:rsidRPr="00E5172C" w14:paraId="0D172394"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B699638"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0.41</w:t>
            </w:r>
          </w:p>
        </w:tc>
        <w:tc>
          <w:tcPr>
            <w:tcW w:w="1500" w:type="dxa"/>
            <w:tcBorders>
              <w:top w:val="nil"/>
              <w:left w:val="nil"/>
              <w:bottom w:val="single" w:sz="4" w:space="0" w:color="auto"/>
              <w:right w:val="single" w:sz="4" w:space="0" w:color="auto"/>
            </w:tcBorders>
            <w:shd w:val="clear" w:color="auto" w:fill="auto"/>
            <w:noWrap/>
            <w:vAlign w:val="bottom"/>
            <w:hideMark/>
          </w:tcPr>
          <w:p w14:paraId="0CB4BF2F"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1.56</w:t>
            </w:r>
          </w:p>
        </w:tc>
      </w:tr>
      <w:tr w:rsidR="003415A9" w:rsidRPr="00E5172C" w14:paraId="461A80D4"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BBC8C67"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0.6</w:t>
            </w:r>
          </w:p>
        </w:tc>
        <w:tc>
          <w:tcPr>
            <w:tcW w:w="1500" w:type="dxa"/>
            <w:tcBorders>
              <w:top w:val="nil"/>
              <w:left w:val="nil"/>
              <w:bottom w:val="single" w:sz="4" w:space="0" w:color="auto"/>
              <w:right w:val="single" w:sz="4" w:space="0" w:color="auto"/>
            </w:tcBorders>
            <w:shd w:val="clear" w:color="auto" w:fill="auto"/>
            <w:noWrap/>
            <w:vAlign w:val="bottom"/>
            <w:hideMark/>
          </w:tcPr>
          <w:p w14:paraId="1B6328A2"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1.10</w:t>
            </w:r>
          </w:p>
        </w:tc>
      </w:tr>
      <w:tr w:rsidR="003415A9" w:rsidRPr="00E5172C" w14:paraId="03C92331"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1CD24C7"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0.7</w:t>
            </w:r>
          </w:p>
        </w:tc>
        <w:tc>
          <w:tcPr>
            <w:tcW w:w="1500" w:type="dxa"/>
            <w:tcBorders>
              <w:top w:val="nil"/>
              <w:left w:val="nil"/>
              <w:bottom w:val="single" w:sz="4" w:space="0" w:color="auto"/>
              <w:right w:val="single" w:sz="4" w:space="0" w:color="auto"/>
            </w:tcBorders>
            <w:shd w:val="clear" w:color="auto" w:fill="auto"/>
            <w:noWrap/>
            <w:vAlign w:val="bottom"/>
            <w:hideMark/>
          </w:tcPr>
          <w:p w14:paraId="36089F04"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0.96</w:t>
            </w:r>
          </w:p>
        </w:tc>
      </w:tr>
      <w:tr w:rsidR="003415A9" w:rsidRPr="00E5172C" w14:paraId="54C3FBCB"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657C4E6"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0.8</w:t>
            </w:r>
          </w:p>
        </w:tc>
        <w:tc>
          <w:tcPr>
            <w:tcW w:w="1500" w:type="dxa"/>
            <w:tcBorders>
              <w:top w:val="nil"/>
              <w:left w:val="nil"/>
              <w:bottom w:val="single" w:sz="4" w:space="0" w:color="auto"/>
              <w:right w:val="single" w:sz="4" w:space="0" w:color="auto"/>
            </w:tcBorders>
            <w:shd w:val="clear" w:color="auto" w:fill="auto"/>
            <w:noWrap/>
            <w:vAlign w:val="bottom"/>
            <w:hideMark/>
          </w:tcPr>
          <w:p w14:paraId="00298AF1"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0.85</w:t>
            </w:r>
          </w:p>
        </w:tc>
      </w:tr>
      <w:tr w:rsidR="003415A9" w:rsidRPr="00E5172C" w14:paraId="3AAC01C8"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D9F7615"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1.0</w:t>
            </w:r>
          </w:p>
        </w:tc>
        <w:tc>
          <w:tcPr>
            <w:tcW w:w="1500" w:type="dxa"/>
            <w:tcBorders>
              <w:top w:val="nil"/>
              <w:left w:val="nil"/>
              <w:bottom w:val="single" w:sz="4" w:space="0" w:color="auto"/>
              <w:right w:val="single" w:sz="4" w:space="0" w:color="auto"/>
            </w:tcBorders>
            <w:shd w:val="clear" w:color="auto" w:fill="auto"/>
            <w:noWrap/>
            <w:vAlign w:val="bottom"/>
            <w:hideMark/>
          </w:tcPr>
          <w:p w14:paraId="6981FBF6"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0.70</w:t>
            </w:r>
          </w:p>
        </w:tc>
      </w:tr>
      <w:tr w:rsidR="003415A9" w:rsidRPr="00E5172C" w14:paraId="3EC46D54"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3CD2155"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1.2</w:t>
            </w:r>
          </w:p>
        </w:tc>
        <w:tc>
          <w:tcPr>
            <w:tcW w:w="1500" w:type="dxa"/>
            <w:tcBorders>
              <w:top w:val="nil"/>
              <w:left w:val="nil"/>
              <w:bottom w:val="single" w:sz="4" w:space="0" w:color="auto"/>
              <w:right w:val="single" w:sz="4" w:space="0" w:color="auto"/>
            </w:tcBorders>
            <w:shd w:val="clear" w:color="auto" w:fill="auto"/>
            <w:noWrap/>
            <w:vAlign w:val="bottom"/>
            <w:hideMark/>
          </w:tcPr>
          <w:p w14:paraId="1F84A541"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0.60</w:t>
            </w:r>
          </w:p>
        </w:tc>
      </w:tr>
      <w:tr w:rsidR="003415A9" w:rsidRPr="00E5172C" w14:paraId="58511C77"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10A30AA2"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1.4</w:t>
            </w:r>
          </w:p>
        </w:tc>
        <w:tc>
          <w:tcPr>
            <w:tcW w:w="1500" w:type="dxa"/>
            <w:tcBorders>
              <w:top w:val="nil"/>
              <w:left w:val="nil"/>
              <w:bottom w:val="single" w:sz="4" w:space="0" w:color="auto"/>
              <w:right w:val="single" w:sz="4" w:space="0" w:color="auto"/>
            </w:tcBorders>
            <w:shd w:val="clear" w:color="auto" w:fill="auto"/>
            <w:noWrap/>
            <w:vAlign w:val="bottom"/>
            <w:hideMark/>
          </w:tcPr>
          <w:p w14:paraId="59DB9788"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0.53</w:t>
            </w:r>
          </w:p>
        </w:tc>
      </w:tr>
      <w:tr w:rsidR="003415A9" w:rsidRPr="00E5172C" w14:paraId="44CEE3A9"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ABDD5D3"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1.6</w:t>
            </w:r>
          </w:p>
        </w:tc>
        <w:tc>
          <w:tcPr>
            <w:tcW w:w="1500" w:type="dxa"/>
            <w:tcBorders>
              <w:top w:val="nil"/>
              <w:left w:val="nil"/>
              <w:bottom w:val="single" w:sz="4" w:space="0" w:color="auto"/>
              <w:right w:val="single" w:sz="4" w:space="0" w:color="auto"/>
            </w:tcBorders>
            <w:shd w:val="clear" w:color="auto" w:fill="auto"/>
            <w:noWrap/>
            <w:vAlign w:val="bottom"/>
            <w:hideMark/>
          </w:tcPr>
          <w:p w14:paraId="1FC0DC44"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0.47</w:t>
            </w:r>
          </w:p>
        </w:tc>
      </w:tr>
      <w:tr w:rsidR="003415A9" w:rsidRPr="00E5172C" w14:paraId="5846B137"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000A4C2"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1.8</w:t>
            </w:r>
          </w:p>
        </w:tc>
        <w:tc>
          <w:tcPr>
            <w:tcW w:w="1500" w:type="dxa"/>
            <w:tcBorders>
              <w:top w:val="nil"/>
              <w:left w:val="nil"/>
              <w:bottom w:val="single" w:sz="4" w:space="0" w:color="auto"/>
              <w:right w:val="single" w:sz="4" w:space="0" w:color="auto"/>
            </w:tcBorders>
            <w:shd w:val="clear" w:color="auto" w:fill="auto"/>
            <w:noWrap/>
            <w:vAlign w:val="bottom"/>
            <w:hideMark/>
          </w:tcPr>
          <w:p w14:paraId="43BD8290"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0.43</w:t>
            </w:r>
          </w:p>
        </w:tc>
      </w:tr>
      <w:tr w:rsidR="003415A9" w:rsidRPr="00E5172C" w14:paraId="3E23E4E6"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B098231"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2.0</w:t>
            </w:r>
          </w:p>
        </w:tc>
        <w:tc>
          <w:tcPr>
            <w:tcW w:w="1500" w:type="dxa"/>
            <w:tcBorders>
              <w:top w:val="nil"/>
              <w:left w:val="nil"/>
              <w:bottom w:val="single" w:sz="4" w:space="0" w:color="auto"/>
              <w:right w:val="single" w:sz="4" w:space="0" w:color="auto"/>
            </w:tcBorders>
            <w:shd w:val="clear" w:color="auto" w:fill="auto"/>
            <w:noWrap/>
            <w:vAlign w:val="bottom"/>
            <w:hideMark/>
          </w:tcPr>
          <w:p w14:paraId="26D46B44"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0.40</w:t>
            </w:r>
          </w:p>
        </w:tc>
      </w:tr>
      <w:tr w:rsidR="003415A9" w:rsidRPr="00E5172C" w14:paraId="506AF6BF"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2111331"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2.2</w:t>
            </w:r>
          </w:p>
        </w:tc>
        <w:tc>
          <w:tcPr>
            <w:tcW w:w="1500" w:type="dxa"/>
            <w:tcBorders>
              <w:top w:val="nil"/>
              <w:left w:val="nil"/>
              <w:bottom w:val="single" w:sz="4" w:space="0" w:color="auto"/>
              <w:right w:val="single" w:sz="4" w:space="0" w:color="auto"/>
            </w:tcBorders>
            <w:shd w:val="clear" w:color="auto" w:fill="auto"/>
            <w:noWrap/>
            <w:vAlign w:val="bottom"/>
            <w:hideMark/>
          </w:tcPr>
          <w:p w14:paraId="6419E4CA"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0.37</w:t>
            </w:r>
          </w:p>
        </w:tc>
      </w:tr>
      <w:tr w:rsidR="003415A9" w:rsidRPr="00E5172C" w14:paraId="73B739AD"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288D44E"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2.4</w:t>
            </w:r>
          </w:p>
        </w:tc>
        <w:tc>
          <w:tcPr>
            <w:tcW w:w="1500" w:type="dxa"/>
            <w:tcBorders>
              <w:top w:val="nil"/>
              <w:left w:val="nil"/>
              <w:bottom w:val="single" w:sz="4" w:space="0" w:color="auto"/>
              <w:right w:val="single" w:sz="4" w:space="0" w:color="auto"/>
            </w:tcBorders>
            <w:shd w:val="clear" w:color="auto" w:fill="auto"/>
            <w:noWrap/>
            <w:vAlign w:val="bottom"/>
            <w:hideMark/>
          </w:tcPr>
          <w:p w14:paraId="464582C9"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0.35</w:t>
            </w:r>
          </w:p>
        </w:tc>
      </w:tr>
      <w:tr w:rsidR="003415A9" w:rsidRPr="00E5172C" w14:paraId="1FF47C39"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72C87D3"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2.6</w:t>
            </w:r>
          </w:p>
        </w:tc>
        <w:tc>
          <w:tcPr>
            <w:tcW w:w="1500" w:type="dxa"/>
            <w:tcBorders>
              <w:top w:val="nil"/>
              <w:left w:val="nil"/>
              <w:bottom w:val="single" w:sz="4" w:space="0" w:color="auto"/>
              <w:right w:val="single" w:sz="4" w:space="0" w:color="auto"/>
            </w:tcBorders>
            <w:shd w:val="clear" w:color="auto" w:fill="auto"/>
            <w:noWrap/>
            <w:vAlign w:val="bottom"/>
            <w:hideMark/>
          </w:tcPr>
          <w:p w14:paraId="62638BBB"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0.33</w:t>
            </w:r>
          </w:p>
        </w:tc>
      </w:tr>
      <w:tr w:rsidR="003415A9" w:rsidRPr="00E5172C" w14:paraId="5556E528"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14E50C8"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2.8</w:t>
            </w:r>
          </w:p>
        </w:tc>
        <w:tc>
          <w:tcPr>
            <w:tcW w:w="1500" w:type="dxa"/>
            <w:tcBorders>
              <w:top w:val="nil"/>
              <w:left w:val="nil"/>
              <w:bottom w:val="single" w:sz="4" w:space="0" w:color="auto"/>
              <w:right w:val="single" w:sz="4" w:space="0" w:color="auto"/>
            </w:tcBorders>
            <w:shd w:val="clear" w:color="auto" w:fill="auto"/>
            <w:noWrap/>
            <w:vAlign w:val="bottom"/>
            <w:hideMark/>
          </w:tcPr>
          <w:p w14:paraId="347DB35E"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0.31</w:t>
            </w:r>
          </w:p>
        </w:tc>
      </w:tr>
      <w:tr w:rsidR="003415A9" w:rsidRPr="00E5172C" w14:paraId="6EA13490"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1A203DE"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3.0</w:t>
            </w:r>
          </w:p>
        </w:tc>
        <w:tc>
          <w:tcPr>
            <w:tcW w:w="1500" w:type="dxa"/>
            <w:tcBorders>
              <w:top w:val="nil"/>
              <w:left w:val="nil"/>
              <w:bottom w:val="single" w:sz="4" w:space="0" w:color="auto"/>
              <w:right w:val="single" w:sz="4" w:space="0" w:color="auto"/>
            </w:tcBorders>
            <w:shd w:val="clear" w:color="auto" w:fill="auto"/>
            <w:noWrap/>
            <w:vAlign w:val="bottom"/>
            <w:hideMark/>
          </w:tcPr>
          <w:p w14:paraId="3F7B0CA7"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0.30</w:t>
            </w:r>
          </w:p>
        </w:tc>
      </w:tr>
      <w:tr w:rsidR="003415A9" w:rsidRPr="00E5172C" w14:paraId="783DEDC9"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96A7212"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4.0</w:t>
            </w:r>
          </w:p>
        </w:tc>
        <w:tc>
          <w:tcPr>
            <w:tcW w:w="1500" w:type="dxa"/>
            <w:tcBorders>
              <w:top w:val="nil"/>
              <w:left w:val="nil"/>
              <w:bottom w:val="single" w:sz="4" w:space="0" w:color="auto"/>
              <w:right w:val="single" w:sz="4" w:space="0" w:color="auto"/>
            </w:tcBorders>
            <w:shd w:val="clear" w:color="auto" w:fill="auto"/>
            <w:noWrap/>
            <w:vAlign w:val="bottom"/>
            <w:hideMark/>
          </w:tcPr>
          <w:p w14:paraId="43A6FCD2"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0.25</w:t>
            </w:r>
          </w:p>
        </w:tc>
      </w:tr>
      <w:tr w:rsidR="003415A9" w:rsidRPr="00E5172C" w14:paraId="576FB491"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AD82EA1"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5.0</w:t>
            </w:r>
          </w:p>
        </w:tc>
        <w:tc>
          <w:tcPr>
            <w:tcW w:w="1500" w:type="dxa"/>
            <w:tcBorders>
              <w:top w:val="nil"/>
              <w:left w:val="nil"/>
              <w:bottom w:val="single" w:sz="4" w:space="0" w:color="auto"/>
              <w:right w:val="single" w:sz="4" w:space="0" w:color="auto"/>
            </w:tcBorders>
            <w:shd w:val="clear" w:color="auto" w:fill="auto"/>
            <w:noWrap/>
            <w:vAlign w:val="bottom"/>
            <w:hideMark/>
          </w:tcPr>
          <w:p w14:paraId="5281C502"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0.22</w:t>
            </w:r>
          </w:p>
        </w:tc>
      </w:tr>
      <w:tr w:rsidR="003415A9" w:rsidRPr="00E5172C" w14:paraId="675B9165"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36F0C85"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6.0</w:t>
            </w:r>
          </w:p>
        </w:tc>
        <w:tc>
          <w:tcPr>
            <w:tcW w:w="1500" w:type="dxa"/>
            <w:tcBorders>
              <w:top w:val="nil"/>
              <w:left w:val="nil"/>
              <w:bottom w:val="single" w:sz="4" w:space="0" w:color="auto"/>
              <w:right w:val="single" w:sz="4" w:space="0" w:color="auto"/>
            </w:tcBorders>
            <w:shd w:val="clear" w:color="auto" w:fill="auto"/>
            <w:noWrap/>
            <w:vAlign w:val="bottom"/>
            <w:hideMark/>
          </w:tcPr>
          <w:p w14:paraId="06402F19"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0.20</w:t>
            </w:r>
          </w:p>
        </w:tc>
      </w:tr>
      <w:tr w:rsidR="003415A9" w:rsidRPr="00E5172C" w14:paraId="2D450F6F"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EE5BC30"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7.0</w:t>
            </w:r>
          </w:p>
        </w:tc>
        <w:tc>
          <w:tcPr>
            <w:tcW w:w="1500" w:type="dxa"/>
            <w:tcBorders>
              <w:top w:val="nil"/>
              <w:left w:val="nil"/>
              <w:bottom w:val="single" w:sz="4" w:space="0" w:color="auto"/>
              <w:right w:val="single" w:sz="4" w:space="0" w:color="auto"/>
            </w:tcBorders>
            <w:shd w:val="clear" w:color="auto" w:fill="auto"/>
            <w:noWrap/>
            <w:vAlign w:val="bottom"/>
            <w:hideMark/>
          </w:tcPr>
          <w:p w14:paraId="0E7157E1"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0.19</w:t>
            </w:r>
          </w:p>
        </w:tc>
      </w:tr>
      <w:tr w:rsidR="003415A9" w:rsidRPr="00E5172C" w14:paraId="6E60DB9D" w14:textId="77777777" w:rsidTr="003A3CE8">
        <w:trPr>
          <w:trHeight w:val="29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D6DCDBF"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7.125</w:t>
            </w:r>
          </w:p>
        </w:tc>
        <w:tc>
          <w:tcPr>
            <w:tcW w:w="1500" w:type="dxa"/>
            <w:tcBorders>
              <w:top w:val="nil"/>
              <w:left w:val="nil"/>
              <w:bottom w:val="single" w:sz="4" w:space="0" w:color="auto"/>
              <w:right w:val="single" w:sz="4" w:space="0" w:color="auto"/>
            </w:tcBorders>
            <w:shd w:val="clear" w:color="auto" w:fill="auto"/>
            <w:noWrap/>
            <w:vAlign w:val="bottom"/>
            <w:hideMark/>
          </w:tcPr>
          <w:p w14:paraId="087AE99D" w14:textId="77777777" w:rsidR="003415A9" w:rsidRPr="00E5172C" w:rsidRDefault="003415A9" w:rsidP="003A3CE8">
            <w:pPr>
              <w:spacing w:after="0"/>
              <w:jc w:val="center"/>
              <w:rPr>
                <w:rFonts w:eastAsia="Times New Roman"/>
                <w:color w:val="000000"/>
                <w:sz w:val="22"/>
                <w:szCs w:val="22"/>
                <w:lang w:val="en-US"/>
              </w:rPr>
            </w:pPr>
            <w:r w:rsidRPr="00E5172C">
              <w:rPr>
                <w:rFonts w:eastAsia="Times New Roman"/>
                <w:color w:val="000000"/>
                <w:sz w:val="22"/>
                <w:szCs w:val="22"/>
                <w:lang w:val="en-US"/>
              </w:rPr>
              <w:t>0.18</w:t>
            </w:r>
          </w:p>
        </w:tc>
      </w:tr>
    </w:tbl>
    <w:p w14:paraId="14D5FCFD" w14:textId="77777777" w:rsidR="003415A9" w:rsidRDefault="003415A9" w:rsidP="003415A9">
      <w:pPr>
        <w:pStyle w:val="Caption"/>
      </w:pPr>
      <w:bookmarkStart w:id="6" w:name="_Ref21007850"/>
      <w:r>
        <w:t xml:space="preserve">Observation </w:t>
      </w:r>
      <w:r>
        <w:fldChar w:fldCharType="begin"/>
      </w:r>
      <w:r>
        <w:instrText xml:space="preserve"> SEQ Observation \* ARABIC </w:instrText>
      </w:r>
      <w:r>
        <w:fldChar w:fldCharType="separate"/>
      </w:r>
      <w:r>
        <w:rPr>
          <w:noProof/>
        </w:rPr>
        <w:t>1</w:t>
      </w:r>
      <w:r>
        <w:fldChar w:fldCharType="end"/>
      </w:r>
      <w:r>
        <w:t>: The range lengths for frequencies beyond 1GHz and especially beyond 3GHz do not seem practical for an 8-probe sectorized or 16 uniform probe configurations</w:t>
      </w:r>
      <w:bookmarkEnd w:id="6"/>
    </w:p>
    <w:p w14:paraId="70573F90" w14:textId="77777777" w:rsidR="003415A9" w:rsidRPr="005F77CA" w:rsidRDefault="003415A9" w:rsidP="003415A9">
      <w:r w:rsidRPr="005F77CA">
        <w:lastRenderedPageBreak/>
        <w:t>In this contribution, we analyse the worst</w:t>
      </w:r>
      <w:r>
        <w:t>-</w:t>
      </w:r>
      <w:r w:rsidRPr="005F77CA">
        <w:t>case scenario of 7.125GHz centre frequency which corresponds to a wave length of 4.21cm.</w:t>
      </w:r>
      <w:r>
        <w:t xml:space="preserve"> </w:t>
      </w:r>
      <w:r>
        <w:fldChar w:fldCharType="begin"/>
      </w:r>
      <w:r>
        <w:instrText xml:space="preserve"> REF _Ref20997095 \h </w:instrText>
      </w:r>
      <w:r>
        <w:fldChar w:fldCharType="separate"/>
      </w:r>
      <w:r w:rsidRPr="005F77CA">
        <w:t>Figure 1</w:t>
      </w:r>
      <w:r>
        <w:fldChar w:fldCharType="end"/>
      </w:r>
      <w:r>
        <w:t xml:space="preserve"> illustrates the placement of one probe with respect to the 20cm test zone. </w:t>
      </w:r>
    </w:p>
    <w:p w14:paraId="5E2E665B" w14:textId="77777777" w:rsidR="003415A9" w:rsidRPr="0084324A" w:rsidRDefault="003415A9" w:rsidP="003415A9">
      <w:pPr>
        <w:ind w:left="48"/>
        <w:jc w:val="center"/>
      </w:pPr>
      <w:r w:rsidRPr="005F77CA">
        <w:object w:dxaOrig="7760" w:dyaOrig="8550" w14:anchorId="08F4D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8pt;height:339.6pt" o:ole="">
            <v:imagedata r:id="rId12" o:title=""/>
          </v:shape>
          <o:OLEObject Type="Embed" ProgID="Visio.Drawing.11" ShapeID="_x0000_i1025" DrawAspect="Content" ObjectID="_1631683962" r:id="rId13"/>
        </w:object>
      </w:r>
    </w:p>
    <w:p w14:paraId="35199264" w14:textId="77777777" w:rsidR="003415A9" w:rsidRPr="005F77CA" w:rsidRDefault="003415A9" w:rsidP="003415A9">
      <w:pPr>
        <w:pStyle w:val="Caption"/>
      </w:pPr>
      <w:bookmarkStart w:id="7" w:name="_Ref20997095"/>
      <w:r w:rsidRPr="005F77CA">
        <w:t xml:space="preserve">Figure </w:t>
      </w:r>
      <w:r w:rsidRPr="005F77CA">
        <w:fldChar w:fldCharType="begin"/>
      </w:r>
      <w:r w:rsidRPr="005F77CA">
        <w:instrText xml:space="preserve"> SEQ Figure \* ARABIC </w:instrText>
      </w:r>
      <w:r w:rsidRPr="005F77CA">
        <w:fldChar w:fldCharType="separate"/>
      </w:r>
      <w:r w:rsidRPr="005F77CA">
        <w:t>1</w:t>
      </w:r>
      <w:r w:rsidRPr="005F77CA">
        <w:fldChar w:fldCharType="end"/>
      </w:r>
      <w:bookmarkEnd w:id="7"/>
      <w:r w:rsidRPr="0084324A">
        <w:t xml:space="preserve">. Illustration of </w:t>
      </w:r>
      <w:r w:rsidRPr="005F77CA">
        <w:t>probe location with respect to the test zone for the previously agreed minimum measurement distance of 2 wavelengths from test zone edge for 7.125GHz (drawing is to scale).</w:t>
      </w:r>
    </w:p>
    <w:p w14:paraId="3111DE4C" w14:textId="77777777" w:rsidR="003415A9" w:rsidRPr="005F77CA" w:rsidRDefault="003415A9" w:rsidP="003415A9"/>
    <w:p w14:paraId="1589C687" w14:textId="77777777" w:rsidR="003415A9" w:rsidRPr="005F77CA" w:rsidRDefault="003415A9" w:rsidP="003415A9">
      <w:r>
        <w:fldChar w:fldCharType="begin"/>
      </w:r>
      <w:r>
        <w:instrText xml:space="preserve"> REF _Ref20997138 \h </w:instrText>
      </w:r>
      <w:r>
        <w:fldChar w:fldCharType="separate"/>
      </w:r>
      <w:r w:rsidRPr="0084324A">
        <w:t xml:space="preserve">Figure </w:t>
      </w:r>
      <w:r w:rsidRPr="00901C2F">
        <w:t>2</w:t>
      </w:r>
      <w:r>
        <w:fldChar w:fldCharType="end"/>
      </w:r>
      <w:r>
        <w:t xml:space="preserve"> </w:t>
      </w:r>
      <w:r w:rsidRPr="005F77CA">
        <w:t>show</w:t>
      </w:r>
      <w:r>
        <w:t>s</w:t>
      </w:r>
      <w:r w:rsidRPr="005F77CA">
        <w:t xml:space="preserve"> magnitude and phase from a probe with two wavelength distance from the edge of QZ. We can observe the magnitude is rather stable, but phase fronts are still highly curved within the QZ denoted with black circle.</w:t>
      </w:r>
    </w:p>
    <w:p w14:paraId="6191F65E" w14:textId="77777777" w:rsidR="003415A9" w:rsidRPr="0084324A" w:rsidRDefault="003415A9" w:rsidP="003415A9">
      <w:pPr>
        <w:ind w:left="48"/>
        <w:rPr>
          <w:lang w:eastAsia="ja-JP"/>
        </w:rPr>
      </w:pPr>
      <w:r w:rsidRPr="00901C2F">
        <w:rPr>
          <w:noProof/>
          <w:lang w:eastAsia="ja-JP"/>
        </w:rPr>
        <w:drawing>
          <wp:inline distT="0" distB="0" distL="0" distR="0" wp14:anchorId="7B30DCCF" wp14:editId="1C93E6D7">
            <wp:extent cx="3009600" cy="2736000"/>
            <wp:effectExtent l="0" t="0" r="635" b="7620"/>
            <wp:docPr id="4" name="Picture 4"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ka_FieldStrengt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09600" cy="2736000"/>
                    </a:xfrm>
                    <a:prstGeom prst="rect">
                      <a:avLst/>
                    </a:prstGeom>
                  </pic:spPr>
                </pic:pic>
              </a:graphicData>
            </a:graphic>
          </wp:inline>
        </w:drawing>
      </w:r>
      <w:r w:rsidRPr="00901C2F">
        <w:rPr>
          <w:noProof/>
          <w:lang w:eastAsia="ja-JP"/>
        </w:rPr>
        <w:drawing>
          <wp:inline distT="0" distB="0" distL="0" distR="0" wp14:anchorId="710B8079" wp14:editId="614C8EE7">
            <wp:extent cx="3009085" cy="2736000"/>
            <wp:effectExtent l="0" t="0" r="127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085" cy="2736000"/>
                    </a:xfrm>
                    <a:prstGeom prst="rect">
                      <a:avLst/>
                    </a:prstGeom>
                    <a:noFill/>
                    <a:ln>
                      <a:noFill/>
                    </a:ln>
                  </pic:spPr>
                </pic:pic>
              </a:graphicData>
            </a:graphic>
          </wp:inline>
        </w:drawing>
      </w:r>
    </w:p>
    <w:p w14:paraId="37A55F5F" w14:textId="77777777" w:rsidR="003415A9" w:rsidRPr="005F77CA" w:rsidRDefault="003415A9" w:rsidP="003415A9">
      <w:pPr>
        <w:pStyle w:val="Caption"/>
      </w:pPr>
      <w:bookmarkStart w:id="8" w:name="_Ref20997138"/>
      <w:r w:rsidRPr="0084324A">
        <w:t xml:space="preserve">Figure </w:t>
      </w:r>
      <w:r w:rsidRPr="0084324A">
        <w:fldChar w:fldCharType="begin"/>
      </w:r>
      <w:r w:rsidRPr="00901C2F">
        <w:instrText xml:space="preserve"> SEQ Figure \* ARABIC </w:instrText>
      </w:r>
      <w:r w:rsidRPr="0084324A">
        <w:fldChar w:fldCharType="separate"/>
      </w:r>
      <w:r w:rsidRPr="00901C2F">
        <w:t>2</w:t>
      </w:r>
      <w:r w:rsidRPr="0084324A">
        <w:fldChar w:fldCharType="end"/>
      </w:r>
      <w:bookmarkEnd w:id="8"/>
      <w:r w:rsidRPr="0084324A">
        <w:t>. Magnitude (left) and phase (right)</w:t>
      </w:r>
      <w:r w:rsidRPr="005F77CA">
        <w:t xml:space="preserve"> of a field radiated from a single isotropic probe.</w:t>
      </w:r>
    </w:p>
    <w:p w14:paraId="5E489694" w14:textId="77777777" w:rsidR="003415A9" w:rsidRPr="00901C2F" w:rsidRDefault="003415A9" w:rsidP="003415A9">
      <w:pPr>
        <w:ind w:left="48"/>
      </w:pPr>
      <w:r w:rsidRPr="00901C2F">
        <w:lastRenderedPageBreak/>
        <w:t xml:space="preserve">We performed a set of spatial correlation simulations to evaluate the impact of limited range length of 2-dimensional MPAC OTA setup on emulation accuracy. Channel models are CDL-A and CDL-C as decided in RAN4#92 </w:t>
      </w:r>
      <w:r w:rsidRPr="00901C2F">
        <w:fldChar w:fldCharType="begin"/>
      </w:r>
      <w:r w:rsidRPr="00901C2F">
        <w:instrText xml:space="preserve"> REF _Ref20212002 \r \h </w:instrText>
      </w:r>
      <w:r w:rsidRPr="00901C2F">
        <w:fldChar w:fldCharType="separate"/>
      </w:r>
      <w:r w:rsidRPr="00901C2F">
        <w:t>[2]</w:t>
      </w:r>
      <w:r w:rsidRPr="00901C2F">
        <w:fldChar w:fldCharType="end"/>
      </w:r>
      <w:r w:rsidRPr="00901C2F">
        <w:t xml:space="preserve">. Again, the two strongest beams of a gNB are considered, as described in </w:t>
      </w:r>
      <w:r w:rsidRPr="00901C2F">
        <w:fldChar w:fldCharType="begin"/>
      </w:r>
      <w:r w:rsidRPr="00901C2F">
        <w:instrText xml:space="preserve"> REF _Ref20921443 \r \h </w:instrText>
      </w:r>
      <w:r w:rsidRPr="00901C2F">
        <w:fldChar w:fldCharType="separate"/>
      </w:r>
      <w:r w:rsidRPr="00901C2F">
        <w:t>[3]</w:t>
      </w:r>
      <w:r w:rsidRPr="00901C2F">
        <w:fldChar w:fldCharType="end"/>
      </w:r>
      <w:r>
        <w:t xml:space="preserve"> </w:t>
      </w:r>
      <w:r w:rsidRPr="00901C2F">
        <w:t xml:space="preserve">and </w:t>
      </w:r>
      <w:r w:rsidRPr="00901C2F">
        <w:fldChar w:fldCharType="begin"/>
      </w:r>
      <w:r w:rsidRPr="00901C2F">
        <w:instrText xml:space="preserve"> REF _Ref20922218 \r \h </w:instrText>
      </w:r>
      <w:r w:rsidRPr="00901C2F">
        <w:fldChar w:fldCharType="separate"/>
      </w:r>
      <w:r w:rsidRPr="00901C2F">
        <w:t>[4]</w:t>
      </w:r>
      <w:r w:rsidRPr="00901C2F">
        <w:fldChar w:fldCharType="end"/>
      </w:r>
      <w:r w:rsidRPr="00901C2F">
        <w:t xml:space="preserve">. </w:t>
      </w:r>
      <w:r w:rsidRPr="00901C2F">
        <w:rPr>
          <w:rFonts w:eastAsia="Batang"/>
        </w:rPr>
        <w:t xml:space="preserve">Their impact is applied to the departure rays. The fixed coupling as described in </w:t>
      </w:r>
      <w:r w:rsidRPr="00901C2F">
        <w:rPr>
          <w:rFonts w:eastAsia="Batang"/>
        </w:rPr>
        <w:fldChar w:fldCharType="begin"/>
      </w:r>
      <w:r w:rsidRPr="00901C2F">
        <w:rPr>
          <w:rFonts w:eastAsia="Batang"/>
        </w:rPr>
        <w:instrText xml:space="preserve"> REF _Ref20942253 \r \h </w:instrText>
      </w:r>
      <w:r w:rsidRPr="00901C2F">
        <w:rPr>
          <w:rFonts w:eastAsia="Batang"/>
        </w:rPr>
      </w:r>
      <w:r w:rsidRPr="00901C2F">
        <w:rPr>
          <w:rFonts w:eastAsia="Batang"/>
        </w:rPr>
        <w:fldChar w:fldCharType="separate"/>
      </w:r>
      <w:r w:rsidRPr="00901C2F">
        <w:rPr>
          <w:rFonts w:eastAsia="Batang"/>
        </w:rPr>
        <w:t>[5]</w:t>
      </w:r>
      <w:r w:rsidRPr="00901C2F">
        <w:rPr>
          <w:rFonts w:eastAsia="Batang"/>
        </w:rPr>
        <w:fldChar w:fldCharType="end"/>
      </w:r>
      <w:r w:rsidRPr="00901C2F">
        <w:rPr>
          <w:rFonts w:eastAsia="Batang"/>
        </w:rPr>
        <w:t xml:space="preserve"> of arrival and departure rays is applied. The impact of 2x2 initial phase matrix on ray powers is ignored. </w:t>
      </w:r>
      <w:r w:rsidRPr="00901C2F">
        <w:t xml:space="preserve">The reference spatial correlation is calculated for the ideal channel model, without any practical OTA restrictions, as defined in </w:t>
      </w:r>
      <w:r w:rsidRPr="00901C2F">
        <w:fldChar w:fldCharType="begin"/>
      </w:r>
      <w:r w:rsidRPr="00901C2F">
        <w:instrText xml:space="preserve"> REF _Ref20921443 \r \h </w:instrText>
      </w:r>
      <w:r w:rsidRPr="00901C2F">
        <w:fldChar w:fldCharType="separate"/>
      </w:r>
      <w:r w:rsidRPr="00901C2F">
        <w:t>[3]</w:t>
      </w:r>
      <w:r w:rsidRPr="00901C2F">
        <w:fldChar w:fldCharType="end"/>
      </w:r>
      <w:r w:rsidRPr="00901C2F">
        <w:t xml:space="preserve"> and </w:t>
      </w:r>
      <w:r w:rsidRPr="00901C2F">
        <w:fldChar w:fldCharType="begin"/>
      </w:r>
      <w:r w:rsidRPr="00901C2F">
        <w:instrText xml:space="preserve"> REF _Ref20922218 \r \h </w:instrText>
      </w:r>
      <w:r w:rsidRPr="00901C2F">
        <w:fldChar w:fldCharType="separate"/>
      </w:r>
      <w:r w:rsidRPr="00901C2F">
        <w:t>[4]</w:t>
      </w:r>
      <w:r w:rsidRPr="00901C2F">
        <w:fldChar w:fldCharType="end"/>
      </w:r>
      <w:r w:rsidRPr="00901C2F">
        <w:t>. Now, as the intention is to evaluate range length effects, the spatial correlation in OTA case is calculated as follows</w:t>
      </w:r>
      <w:r>
        <w:t>:</w:t>
      </w:r>
      <w:r w:rsidRPr="00901C2F">
        <w:t xml:space="preserve"> The spatial correlation of fading signals between spatial sample points </w:t>
      </w:r>
      <w:r w:rsidRPr="00901C2F">
        <w:rPr>
          <w:i/>
        </w:rPr>
        <w:t>p</w:t>
      </w:r>
      <w:r w:rsidRPr="00901C2F">
        <w:t xml:space="preserve">1 and </w:t>
      </w:r>
      <w:r w:rsidRPr="00901C2F">
        <w:rPr>
          <w:i/>
        </w:rPr>
        <w:t>p</w:t>
      </w:r>
      <w:r w:rsidRPr="00901C2F">
        <w:t>2 is</w:t>
      </w:r>
    </w:p>
    <w:p w14:paraId="21C58828" w14:textId="77777777" w:rsidR="003415A9" w:rsidRPr="00901C2F" w:rsidRDefault="003415A9" w:rsidP="003415A9">
      <w:pPr>
        <w:ind w:left="48"/>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ρ</m:t>
                  </m:r>
                </m:e>
              </m:acc>
            </m:e>
            <m:sub>
              <m:r>
                <w:rPr>
                  <w:rFonts w:ascii="Cambria Math" w:hAnsi="Cambria Math"/>
                </w:rPr>
                <m:t>p1,p2</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Sup>
                    <m:sSubSupPr>
                      <m:ctrlPr>
                        <w:rPr>
                          <w:rFonts w:ascii="Cambria Math" w:hAnsi="Cambria Math"/>
                          <w:i/>
                        </w:rPr>
                      </m:ctrlPr>
                    </m:sSubSupPr>
                    <m:e>
                      <m:r>
                        <w:rPr>
                          <w:rFonts w:ascii="Cambria Math" w:hAnsi="Cambria Math"/>
                        </w:rPr>
                        <m:t>γ</m:t>
                      </m:r>
                    </m:e>
                    <m:sub>
                      <m:r>
                        <w:rPr>
                          <w:rFonts w:ascii="Cambria Math" w:hAnsi="Cambria Math"/>
                        </w:rPr>
                        <m:t>k</m:t>
                      </m:r>
                    </m:sub>
                    <m:sup>
                      <m:r>
                        <w:rPr>
                          <w:rFonts w:ascii="Cambria Math" w:hAnsi="Cambria Math"/>
                        </w:rPr>
                        <m:t>2</m:t>
                      </m:r>
                    </m:sup>
                  </m:sSubSup>
                  <m:r>
                    <w:rPr>
                      <w:rFonts w:ascii="Cambria Math" w:hAnsi="Cambria Math"/>
                    </w:rPr>
                    <m:t>L</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p1,k</m:t>
                          </m:r>
                        </m:sub>
                      </m:sSub>
                    </m:e>
                  </m:d>
                  <m:r>
                    <w:rPr>
                      <w:rFonts w:ascii="Cambria Math" w:hAnsi="Cambria Math"/>
                    </w:rPr>
                    <m:t>L</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p2,k</m:t>
                          </m:r>
                        </m:sub>
                      </m:sSub>
                    </m:e>
                  </m:d>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λ</m:t>
                              </m:r>
                            </m:den>
                          </m:f>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p1,k</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p2,k</m:t>
                                  </m:r>
                                </m:sub>
                              </m:sSub>
                            </m:e>
                          </m:d>
                        </m:e>
                      </m:d>
                    </m:e>
                  </m:func>
                </m:e>
              </m:nary>
            </m:num>
            <m:den>
              <m:rad>
                <m:radPr>
                  <m:degHide m:val="1"/>
                  <m:ctrlPr>
                    <w:rPr>
                      <w:rFonts w:ascii="Cambria Math" w:hAnsi="Cambria Math"/>
                      <w:i/>
                    </w:rPr>
                  </m:ctrlPr>
                </m:radPr>
                <m:deg/>
                <m:e>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Sup>
                        <m:sSubSupPr>
                          <m:ctrlPr>
                            <w:rPr>
                              <w:rFonts w:ascii="Cambria Math" w:hAnsi="Cambria Math"/>
                              <w:i/>
                            </w:rPr>
                          </m:ctrlPr>
                        </m:sSubSupPr>
                        <m:e>
                          <m:r>
                            <w:rPr>
                              <w:rFonts w:ascii="Cambria Math" w:hAnsi="Cambria Math"/>
                            </w:rPr>
                            <m:t>γ</m:t>
                          </m:r>
                        </m:e>
                        <m:sub>
                          <m:r>
                            <w:rPr>
                              <w:rFonts w:ascii="Cambria Math" w:hAnsi="Cambria Math"/>
                            </w:rPr>
                            <m:t>k</m:t>
                          </m:r>
                        </m:sub>
                        <m:sup>
                          <m:r>
                            <w:rPr>
                              <w:rFonts w:ascii="Cambria Math" w:hAnsi="Cambria Math"/>
                            </w:rPr>
                            <m:t>2</m:t>
                          </m:r>
                        </m:sup>
                      </m:sSubSup>
                      <m:sSup>
                        <m:sSupPr>
                          <m:ctrlPr>
                            <w:rPr>
                              <w:rFonts w:ascii="Cambria Math" w:hAnsi="Cambria Math"/>
                              <w:i/>
                            </w:rPr>
                          </m:ctrlPr>
                        </m:sSupPr>
                        <m:e>
                          <m:r>
                            <w:rPr>
                              <w:rFonts w:ascii="Cambria Math" w:hAnsi="Cambria Math"/>
                            </w:rPr>
                            <m:t>L</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p1,k</m:t>
                              </m:r>
                            </m:sub>
                          </m:sSub>
                        </m:e>
                      </m:d>
                    </m:e>
                  </m:nary>
                  <m:r>
                    <w:rPr>
                      <w:rFonts w:ascii="Cambria Math" w:hAnsi="Cambria Math"/>
                    </w:rPr>
                    <m:t xml:space="preserve"> </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Sup>
                        <m:sSubSupPr>
                          <m:ctrlPr>
                            <w:rPr>
                              <w:rFonts w:ascii="Cambria Math" w:hAnsi="Cambria Math"/>
                              <w:i/>
                            </w:rPr>
                          </m:ctrlPr>
                        </m:sSubSupPr>
                        <m:e>
                          <m:r>
                            <w:rPr>
                              <w:rFonts w:ascii="Cambria Math" w:hAnsi="Cambria Math"/>
                            </w:rPr>
                            <m:t>γ</m:t>
                          </m:r>
                        </m:e>
                        <m:sub>
                          <m:r>
                            <w:rPr>
                              <w:rFonts w:ascii="Cambria Math" w:hAnsi="Cambria Math"/>
                            </w:rPr>
                            <m:t>k</m:t>
                          </m:r>
                        </m:sub>
                        <m:sup>
                          <m:r>
                            <w:rPr>
                              <w:rFonts w:ascii="Cambria Math" w:hAnsi="Cambria Math"/>
                            </w:rPr>
                            <m:t>2</m:t>
                          </m:r>
                        </m:sup>
                      </m:sSubSup>
                      <m:sSup>
                        <m:sSupPr>
                          <m:ctrlPr>
                            <w:rPr>
                              <w:rFonts w:ascii="Cambria Math" w:hAnsi="Cambria Math"/>
                              <w:i/>
                            </w:rPr>
                          </m:ctrlPr>
                        </m:sSupPr>
                        <m:e>
                          <m:r>
                            <w:rPr>
                              <w:rFonts w:ascii="Cambria Math" w:hAnsi="Cambria Math"/>
                            </w:rPr>
                            <m:t>L</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p2,k</m:t>
                              </m:r>
                            </m:sub>
                          </m:sSub>
                        </m:e>
                      </m:d>
                    </m:e>
                  </m:nary>
                </m:e>
              </m:rad>
            </m:den>
          </m:f>
          <m:r>
            <w:rPr>
              <w:rFonts w:ascii="Cambria Math" w:hAnsi="Cambria Math"/>
            </w:rPr>
            <m:t>,</m:t>
          </m:r>
        </m:oMath>
      </m:oMathPara>
    </w:p>
    <w:p w14:paraId="32051896" w14:textId="77777777" w:rsidR="003415A9" w:rsidRPr="00901C2F" w:rsidRDefault="003415A9" w:rsidP="003415A9">
      <w:pPr>
        <w:ind w:left="48"/>
      </w:pPr>
      <w:r w:rsidRPr="00901C2F">
        <w:t xml:space="preserve">where </w:t>
      </w:r>
      <m:oMath>
        <m:sSub>
          <m:sSubPr>
            <m:ctrlPr>
              <w:rPr>
                <w:rFonts w:ascii="Cambria Math" w:hAnsi="Cambria Math"/>
                <w:i/>
              </w:rPr>
            </m:ctrlPr>
          </m:sSubPr>
          <m:e>
            <m:r>
              <w:rPr>
                <w:rFonts w:ascii="Cambria Math" w:hAnsi="Cambria Math"/>
              </w:rPr>
              <m:t>γ</m:t>
            </m:r>
          </m:e>
          <m:sub>
            <m:r>
              <w:rPr>
                <w:rFonts w:ascii="Cambria Math" w:hAnsi="Cambria Math"/>
              </w:rPr>
              <m:t>k</m:t>
            </m:r>
          </m:sub>
        </m:sSub>
      </m:oMath>
      <w:r w:rsidRPr="00901C2F">
        <w:t xml:space="preserve">, </w:t>
      </w:r>
      <m:oMath>
        <m:r>
          <w:rPr>
            <w:rFonts w:ascii="Cambria Math" w:hAnsi="Cambria Math"/>
          </w:rPr>
          <m:t>L</m:t>
        </m:r>
        <m:d>
          <m:dPr>
            <m:ctrlPr>
              <w:rPr>
                <w:rFonts w:ascii="Cambria Math" w:hAnsi="Cambria Math"/>
                <w:i/>
              </w:rPr>
            </m:ctrlPr>
          </m:dPr>
          <m:e/>
        </m:d>
      </m:oMath>
      <w:r w:rsidRPr="00661190">
        <w:t>,</w:t>
      </w:r>
      <w:r w:rsidRPr="00901C2F">
        <w:t xml:space="preserve"> and </w:t>
      </w:r>
      <m:oMath>
        <m:sSub>
          <m:sSubPr>
            <m:ctrlPr>
              <w:rPr>
                <w:rFonts w:ascii="Cambria Math" w:hAnsi="Cambria Math"/>
                <w:i/>
              </w:rPr>
            </m:ctrlPr>
          </m:sSubPr>
          <m:e>
            <m:r>
              <w:rPr>
                <w:rFonts w:ascii="Cambria Math" w:hAnsi="Cambria Math"/>
              </w:rPr>
              <m:t>d</m:t>
            </m:r>
          </m:e>
          <m:sub>
            <m:r>
              <w:rPr>
                <w:rFonts w:ascii="Cambria Math" w:hAnsi="Cambria Math"/>
              </w:rPr>
              <m:t>p1,k</m:t>
            </m:r>
          </m:sub>
        </m:sSub>
      </m:oMath>
      <w:r w:rsidRPr="00901C2F">
        <w:t xml:space="preserve"> are the amplitude weight of </w:t>
      </w:r>
      <w:r w:rsidRPr="00901C2F">
        <w:rPr>
          <w:i/>
        </w:rPr>
        <w:t>k</w:t>
      </w:r>
      <w:r w:rsidRPr="00901C2F">
        <w:t xml:space="preserve">th probe, free space path loss term, and the distance between point </w:t>
      </w:r>
      <w:r w:rsidRPr="00901C2F">
        <w:rPr>
          <w:i/>
        </w:rPr>
        <w:t>p</w:t>
      </w:r>
      <w:r w:rsidRPr="00901C2F">
        <w:t xml:space="preserve">1 and </w:t>
      </w:r>
      <w:r w:rsidRPr="00901C2F">
        <w:rPr>
          <w:i/>
        </w:rPr>
        <w:t>k</w:t>
      </w:r>
      <w:r w:rsidRPr="00901C2F">
        <w:t xml:space="preserve">th probe, respectively. The equation and its symbols are defined in </w:t>
      </w:r>
      <w:r w:rsidRPr="00901C2F">
        <w:fldChar w:fldCharType="begin"/>
      </w:r>
      <w:r w:rsidRPr="00901C2F">
        <w:instrText xml:space="preserve"> REF _Ref20942308 \r \h </w:instrText>
      </w:r>
      <w:r w:rsidRPr="00901C2F">
        <w:fldChar w:fldCharType="separate"/>
      </w:r>
      <w:r w:rsidRPr="00901C2F">
        <w:t>[6]</w:t>
      </w:r>
      <w:r w:rsidRPr="00901C2F">
        <w:fldChar w:fldCharType="end"/>
      </w:r>
      <w:r w:rsidRPr="00901C2F">
        <w:t xml:space="preserve">. </w:t>
      </w:r>
    </w:p>
    <w:p w14:paraId="088CF2DC" w14:textId="77777777" w:rsidR="003415A9" w:rsidRPr="0084324A" w:rsidRDefault="003415A9" w:rsidP="003415A9">
      <w:pPr>
        <w:pStyle w:val="Heading3"/>
      </w:pPr>
      <w:r w:rsidRPr="0084324A">
        <w:t>Results</w:t>
      </w:r>
    </w:p>
    <w:p w14:paraId="224D9686" w14:textId="77777777" w:rsidR="003415A9" w:rsidRPr="00901C2F" w:rsidRDefault="003415A9" w:rsidP="003415A9">
      <w:r w:rsidRPr="005F77CA">
        <w:t xml:space="preserve">The following simulation results show the weighted rms spatial correlation error as a function of range length with CDL-A and C models. In both cases the frequency is 7.125GHz. Eight probes with probe locations </w:t>
      </w:r>
      <w:r w:rsidRPr="00180B5B">
        <w:t xml:space="preserve">jointly optimized to emulate both models are used. </w:t>
      </w:r>
      <w:r w:rsidRPr="0084324A">
        <w:t>Sampling of quiet zone (QZ) follows option 6 of</w:t>
      </w:r>
      <w:r>
        <w:t xml:space="preserve"> </w:t>
      </w:r>
      <w:r w:rsidRPr="0084324A">
        <w:fldChar w:fldCharType="begin"/>
      </w:r>
      <w:r w:rsidRPr="00901C2F">
        <w:instrText xml:space="preserve"> REF _Ref20921443 \r \h </w:instrText>
      </w:r>
      <w:r w:rsidRPr="0084324A">
        <w:fldChar w:fldCharType="separate"/>
      </w:r>
      <w:r w:rsidRPr="0084324A">
        <w:t>[3]</w:t>
      </w:r>
      <w:r w:rsidRPr="0084324A">
        <w:fldChar w:fldCharType="end"/>
      </w:r>
      <w:r w:rsidRPr="005F77CA">
        <w:fldChar w:fldCharType="begin"/>
      </w:r>
      <w:r w:rsidRPr="00901C2F">
        <w:instrText xml:space="preserve"> REF _Ref20942506 \r \h </w:instrText>
      </w:r>
      <w:r w:rsidRPr="005F77CA">
        <w:fldChar w:fldCharType="separate"/>
      </w:r>
      <w:r w:rsidRPr="005F77CA">
        <w:t>[7]</w:t>
      </w:r>
      <w:r w:rsidRPr="005F77CA">
        <w:fldChar w:fldCharType="end"/>
      </w:r>
      <w:r w:rsidRPr="0084324A">
        <w:t xml:space="preserve"> with 20cm diameter of the </w:t>
      </w:r>
      <w:r w:rsidRPr="005F77CA">
        <w:t xml:space="preserve">disc/test zone. Probe directions and QZ sampling, together with visualization of ray power angular distribution are shown in </w:t>
      </w:r>
      <w:r w:rsidRPr="0084324A">
        <w:fldChar w:fldCharType="begin"/>
      </w:r>
      <w:r w:rsidRPr="00901C2F">
        <w:instrText xml:space="preserve"> REF _Ref20928083 \h </w:instrText>
      </w:r>
      <w:r w:rsidRPr="0084324A">
        <w:fldChar w:fldCharType="separate"/>
      </w:r>
      <w:r w:rsidRPr="0084324A">
        <w:t xml:space="preserve">Figure </w:t>
      </w:r>
      <w:r w:rsidRPr="00901C2F">
        <w:t>3</w:t>
      </w:r>
      <w:r w:rsidRPr="0084324A">
        <w:fldChar w:fldCharType="end"/>
      </w:r>
      <w:r w:rsidRPr="0084324A">
        <w:t xml:space="preserve"> and </w:t>
      </w:r>
      <w:r w:rsidRPr="0084324A">
        <w:fldChar w:fldCharType="begin"/>
      </w:r>
      <w:r w:rsidRPr="00901C2F">
        <w:instrText xml:space="preserve"> REF _Ref20928090 \h </w:instrText>
      </w:r>
      <w:r w:rsidRPr="0084324A">
        <w:fldChar w:fldCharType="separate"/>
      </w:r>
      <w:r w:rsidRPr="0084324A">
        <w:t xml:space="preserve">Figure </w:t>
      </w:r>
      <w:r w:rsidRPr="00901C2F">
        <w:t>5</w:t>
      </w:r>
      <w:r w:rsidRPr="0084324A">
        <w:fldChar w:fldCharType="end"/>
      </w:r>
      <w:r w:rsidRPr="0084324A">
        <w:t xml:space="preserve"> for CDL-A and CDL-C models, respectively. In CDL-C case the probe constellation is rotated </w:t>
      </w:r>
      <w:r>
        <w:t>with respect to</w:t>
      </w:r>
      <w:r w:rsidRPr="005F77CA">
        <w:t xml:space="preserve"> the channel model PAS. In a real emulation setup</w:t>
      </w:r>
      <w:r>
        <w:t>,</w:t>
      </w:r>
      <w:r w:rsidRPr="005F77CA">
        <w:t xml:space="preserve"> this can be done by mechanically turning the DUT correspondingly.</w:t>
      </w:r>
    </w:p>
    <w:p w14:paraId="159459CA" w14:textId="77777777" w:rsidR="003415A9" w:rsidRPr="00901C2F" w:rsidRDefault="003415A9" w:rsidP="003415A9">
      <w:pPr>
        <w:pStyle w:val="Heading2"/>
        <w:rPr>
          <w:lang w:eastAsia="ja-JP"/>
        </w:rPr>
      </w:pPr>
      <w:r w:rsidRPr="00901C2F">
        <w:rPr>
          <w:lang w:eastAsia="ja-JP"/>
        </w:rPr>
        <w:t xml:space="preserve">CDL-A </w:t>
      </w:r>
    </w:p>
    <w:p w14:paraId="77455C51" w14:textId="77777777" w:rsidR="003415A9" w:rsidRDefault="003415A9" w:rsidP="003415A9">
      <w:pPr>
        <w:rPr>
          <w:lang w:eastAsia="ja-JP"/>
        </w:rPr>
      </w:pPr>
      <w:r w:rsidRPr="00901C2F">
        <w:rPr>
          <w:lang w:eastAsia="ja-JP"/>
        </w:rPr>
        <w:t xml:space="preserve">Weighted rms correlation error of CDL-A model is shown in </w:t>
      </w:r>
      <w:r w:rsidRPr="0084324A">
        <w:rPr>
          <w:lang w:eastAsia="ja-JP"/>
        </w:rPr>
        <w:fldChar w:fldCharType="begin"/>
      </w:r>
      <w:r w:rsidRPr="00901C2F">
        <w:rPr>
          <w:lang w:eastAsia="ja-JP"/>
        </w:rPr>
        <w:instrText xml:space="preserve"> REF _Ref20928253 \h </w:instrText>
      </w:r>
      <w:r w:rsidRPr="0084324A">
        <w:rPr>
          <w:lang w:eastAsia="ja-JP"/>
        </w:rPr>
      </w:r>
      <w:r w:rsidRPr="0084324A">
        <w:rPr>
          <w:lang w:eastAsia="ja-JP"/>
        </w:rPr>
        <w:fldChar w:fldCharType="separate"/>
      </w:r>
      <w:r w:rsidRPr="0084324A">
        <w:t xml:space="preserve">Figure </w:t>
      </w:r>
      <w:r w:rsidRPr="00901C2F">
        <w:t>4</w:t>
      </w:r>
      <w:r w:rsidRPr="0084324A">
        <w:rPr>
          <w:lang w:eastAsia="ja-JP"/>
        </w:rPr>
        <w:fldChar w:fldCharType="end"/>
      </w:r>
      <w:r w:rsidRPr="0084324A">
        <w:rPr>
          <w:lang w:eastAsia="ja-JP"/>
        </w:rPr>
        <w:t xml:space="preserve">. Range length of two wavelengths from the QZ edge would result in a weighted RMS correlation </w:t>
      </w:r>
      <w:r w:rsidRPr="005F77CA">
        <w:rPr>
          <w:lang w:eastAsia="ja-JP"/>
        </w:rPr>
        <w:t xml:space="preserve">error of 0.32. The 0.1 and lower weighted RMS correlation error can </w:t>
      </w:r>
      <w:r w:rsidRPr="00180B5B">
        <w:rPr>
          <w:lang w:eastAsia="ja-JP"/>
        </w:rPr>
        <w:t xml:space="preserve">be reached at range length of </w:t>
      </w:r>
      <w:r w:rsidRPr="0084324A">
        <w:rPr>
          <w:rFonts w:ascii="Symbol" w:eastAsia="Symbol" w:hAnsi="Symbol" w:cs="Symbol"/>
          <w:lang w:eastAsia="ja-JP"/>
        </w:rPr>
        <w:t></w:t>
      </w:r>
      <w:r w:rsidRPr="0084324A">
        <w:rPr>
          <w:lang w:eastAsia="ja-JP"/>
        </w:rPr>
        <w:t>1.2m or</w:t>
      </w:r>
      <w:r w:rsidRPr="005F77CA">
        <w:rPr>
          <w:lang w:eastAsia="ja-JP"/>
        </w:rPr>
        <w:t xml:space="preserve"> longer which clearly is an excess of the previously agreed 2</w:t>
      </w:r>
      <w:r w:rsidRPr="00901C2F">
        <w:rPr>
          <w:rFonts w:ascii="Symbol" w:hAnsi="Symbol"/>
          <w:lang w:eastAsia="ja-JP"/>
        </w:rPr>
        <w:t></w:t>
      </w:r>
      <w:r w:rsidRPr="0084324A">
        <w:rPr>
          <w:lang w:eastAsia="ja-JP"/>
        </w:rPr>
        <w:t xml:space="preserve"> from the test zone edge</w:t>
      </w:r>
      <w:r w:rsidRPr="005F77CA">
        <w:rPr>
          <w:lang w:eastAsia="ja-JP"/>
        </w:rPr>
        <w:t xml:space="preserve">. Different sample points of QZ observe probes in substantially different directions when the range length is short. </w:t>
      </w:r>
      <w:r w:rsidRPr="008F0D44">
        <w:rPr>
          <w:lang w:eastAsia="ja-JP"/>
        </w:rPr>
        <w:t>The angular dispersion of CDL-A with the given gNB beamforming assumptions is quite narrow. This leads to high</w:t>
      </w:r>
      <w:r w:rsidRPr="00BE6BFC">
        <w:rPr>
          <w:lang w:eastAsia="ja-JP"/>
        </w:rPr>
        <w:t xml:space="preserve"> deviation of the target and resulting complex correlation coefficients. Thus, the correlation error is high up to the</w:t>
      </w:r>
      <w:r w:rsidRPr="00901C2F">
        <w:rPr>
          <w:lang w:eastAsia="ja-JP"/>
        </w:rPr>
        <w:t xml:space="preserve"> range lengths well beyond 1m.</w:t>
      </w:r>
    </w:p>
    <w:p w14:paraId="3AF389A2" w14:textId="77777777" w:rsidR="003415A9" w:rsidRPr="00901C2F" w:rsidRDefault="003415A9" w:rsidP="003415A9">
      <w:pPr>
        <w:pStyle w:val="Caption"/>
        <w:rPr>
          <w:lang w:eastAsia="ja-JP"/>
        </w:rPr>
      </w:pPr>
      <w:bookmarkStart w:id="9" w:name="_Ref21007928"/>
      <w:r>
        <w:t xml:space="preserve">Observation </w:t>
      </w:r>
      <w:r>
        <w:fldChar w:fldCharType="begin"/>
      </w:r>
      <w:r>
        <w:instrText xml:space="preserve"> SEQ Observation \* ARABIC </w:instrText>
      </w:r>
      <w:r>
        <w:fldChar w:fldCharType="separate"/>
      </w:r>
      <w:r>
        <w:rPr>
          <w:noProof/>
        </w:rPr>
        <w:t>2</w:t>
      </w:r>
      <w:r>
        <w:fldChar w:fldCharType="end"/>
      </w:r>
      <w:r>
        <w:t>: The previous agreement that t</w:t>
      </w:r>
      <w:r w:rsidRPr="006750B7">
        <w:t xml:space="preserve">he </w:t>
      </w:r>
      <w:r>
        <w:t>range length</w:t>
      </w:r>
      <w:r w:rsidRPr="006750B7">
        <w:t xml:space="preserve"> for FR1 MIMO OTA is at least 2</w:t>
      </w:r>
      <w:r w:rsidRPr="00ED29E3">
        <w:rPr>
          <w:rFonts w:ascii="Symbol" w:hAnsi="Symbol"/>
        </w:rPr>
        <w:t></w:t>
      </w:r>
      <w:r w:rsidRPr="006750B7">
        <w:t xml:space="preserve"> from the edge of the test zone</w:t>
      </w:r>
      <w:r>
        <w:t xml:space="preserve"> is not applicable for all NF FR1 frequencies given the sharp decline the weighted RMS correlation error as a function of range length.</w:t>
      </w:r>
      <w:bookmarkEnd w:id="9"/>
      <w:r>
        <w:t xml:space="preserve"> </w:t>
      </w:r>
    </w:p>
    <w:p w14:paraId="2BF3EF95" w14:textId="77777777" w:rsidR="003415A9" w:rsidRPr="0084324A" w:rsidRDefault="003415A9" w:rsidP="003415A9">
      <w:pPr>
        <w:spacing w:after="0"/>
        <w:rPr>
          <w:lang w:eastAsia="ja-JP"/>
        </w:rPr>
      </w:pPr>
      <w:r w:rsidRPr="00901C2F">
        <w:rPr>
          <w:noProof/>
          <w:lang w:eastAsia="ja-JP"/>
        </w:rPr>
        <w:lastRenderedPageBreak/>
        <w:drawing>
          <wp:inline distT="0" distB="0" distL="0" distR="0" wp14:anchorId="511311F4" wp14:editId="63A495E8">
            <wp:extent cx="5029200" cy="3870102"/>
            <wp:effectExtent l="0" t="0" r="0" b="0"/>
            <wp:docPr id="23" name="Picture 23"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loka_CDL-A_probes+rays_disc.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29200" cy="3870102"/>
                    </a:xfrm>
                    <a:prstGeom prst="rect">
                      <a:avLst/>
                    </a:prstGeom>
                  </pic:spPr>
                </pic:pic>
              </a:graphicData>
            </a:graphic>
          </wp:inline>
        </w:drawing>
      </w:r>
    </w:p>
    <w:p w14:paraId="483AF7E7" w14:textId="77777777" w:rsidR="003415A9" w:rsidRPr="00BE6BFC" w:rsidRDefault="003415A9" w:rsidP="003415A9">
      <w:pPr>
        <w:pStyle w:val="Caption"/>
        <w:rPr>
          <w:lang w:eastAsia="ja-JP"/>
        </w:rPr>
      </w:pPr>
      <w:bookmarkStart w:id="10" w:name="_Ref20928083"/>
      <w:r w:rsidRPr="005F77CA">
        <w:t xml:space="preserve">Figure </w:t>
      </w:r>
      <w:r w:rsidRPr="005F77CA">
        <w:fldChar w:fldCharType="begin"/>
      </w:r>
      <w:r w:rsidRPr="00901C2F">
        <w:instrText xml:space="preserve"> SEQ Figure \* ARABIC </w:instrText>
      </w:r>
      <w:r w:rsidRPr="005F77CA">
        <w:fldChar w:fldCharType="separate"/>
      </w:r>
      <w:r w:rsidRPr="00901C2F">
        <w:t>3</w:t>
      </w:r>
      <w:r w:rsidRPr="005F77CA">
        <w:fldChar w:fldCharType="end"/>
      </w:r>
      <w:bookmarkEnd w:id="10"/>
      <w:r w:rsidRPr="0084324A">
        <w:t xml:space="preserve">. </w:t>
      </w:r>
      <w:r w:rsidRPr="005F77CA">
        <w:t>Probes, rays and QZ sample points. CDL-A model at 7.125GHz, probes are placed two</w:t>
      </w:r>
      <w:r w:rsidRPr="008F0D44">
        <w:t xml:space="preserve"> wavelengths from the QZ edge. Rays are denoted with circles and their</w:t>
      </w:r>
      <w:r w:rsidRPr="00BE6BFC">
        <w:t xml:space="preserve"> powers are colour coded in dB scale. QZ sampling points are black dots.</w:t>
      </w:r>
    </w:p>
    <w:p w14:paraId="19452B6B" w14:textId="77777777" w:rsidR="003415A9" w:rsidRPr="0084324A" w:rsidRDefault="003415A9" w:rsidP="003415A9">
      <w:pPr>
        <w:spacing w:after="0"/>
        <w:rPr>
          <w:lang w:eastAsia="ja-JP"/>
        </w:rPr>
      </w:pPr>
      <w:r w:rsidRPr="00901C2F">
        <w:rPr>
          <w:noProof/>
          <w:lang w:eastAsia="ja-JP"/>
        </w:rPr>
        <w:drawing>
          <wp:inline distT="0" distB="0" distL="0" distR="0" wp14:anchorId="3C17BE12" wp14:editId="75E39BBE">
            <wp:extent cx="5029200" cy="3719345"/>
            <wp:effectExtent l="0" t="0" r="0" b="0"/>
            <wp:docPr id="22" name="Picture 22"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oka_CDL-A_probes+rays_disc.png"/>
                    <pic:cNvPicPr/>
                  </pic:nvPicPr>
                  <pic:blipFill>
                    <a:blip r:embed="rId17">
                      <a:extLst>
                        <a:ext uri="{28A0092B-C50C-407E-A947-70E740481C1C}">
                          <a14:useLocalDpi xmlns:a14="http://schemas.microsoft.com/office/drawing/2010/main" val="0"/>
                        </a:ext>
                      </a:extLst>
                    </a:blip>
                    <a:stretch>
                      <a:fillRect/>
                    </a:stretch>
                  </pic:blipFill>
                  <pic:spPr>
                    <a:xfrm>
                      <a:off x="0" y="0"/>
                      <a:ext cx="5029200" cy="3719345"/>
                    </a:xfrm>
                    <a:prstGeom prst="rect">
                      <a:avLst/>
                    </a:prstGeom>
                  </pic:spPr>
                </pic:pic>
              </a:graphicData>
            </a:graphic>
          </wp:inline>
        </w:drawing>
      </w:r>
    </w:p>
    <w:p w14:paraId="0D9F5AD3" w14:textId="77777777" w:rsidR="003415A9" w:rsidRPr="00901C2F" w:rsidRDefault="003415A9" w:rsidP="003415A9">
      <w:pPr>
        <w:pStyle w:val="Caption"/>
        <w:rPr>
          <w:lang w:eastAsia="ja-JP"/>
        </w:rPr>
      </w:pPr>
      <w:bookmarkStart w:id="11" w:name="_Ref20928253"/>
      <w:r w:rsidRPr="005F77CA">
        <w:t xml:space="preserve">Figure </w:t>
      </w:r>
      <w:r w:rsidRPr="005F77CA">
        <w:fldChar w:fldCharType="begin"/>
      </w:r>
      <w:r w:rsidRPr="00901C2F">
        <w:instrText xml:space="preserve"> SEQ Figure \* ARABIC </w:instrText>
      </w:r>
      <w:r w:rsidRPr="005F77CA">
        <w:fldChar w:fldCharType="separate"/>
      </w:r>
      <w:r w:rsidRPr="00901C2F">
        <w:t>4</w:t>
      </w:r>
      <w:r w:rsidRPr="005F77CA">
        <w:fldChar w:fldCharType="end"/>
      </w:r>
      <w:bookmarkEnd w:id="11"/>
      <w:r w:rsidRPr="0084324A">
        <w:t xml:space="preserve">. </w:t>
      </w:r>
      <w:r w:rsidRPr="005F77CA">
        <w:t>Weighted rms correlation error vs</w:t>
      </w:r>
      <w:r w:rsidRPr="008F0D44">
        <w:t xml:space="preserve">. range length. CDL-A model at 7.125GHz with eight optimized probe directions. </w:t>
      </w:r>
      <w:r w:rsidRPr="00901C2F">
        <w:t>The range length axis is both in wavelengths (top) and in metres (bottom).</w:t>
      </w:r>
    </w:p>
    <w:p w14:paraId="356C17E9" w14:textId="77777777" w:rsidR="003415A9" w:rsidRPr="00901C2F" w:rsidRDefault="003415A9" w:rsidP="003415A9">
      <w:pPr>
        <w:pStyle w:val="Heading2"/>
        <w:rPr>
          <w:lang w:eastAsia="ja-JP"/>
        </w:rPr>
      </w:pPr>
      <w:r w:rsidRPr="00901C2F">
        <w:rPr>
          <w:lang w:eastAsia="ja-JP"/>
        </w:rPr>
        <w:lastRenderedPageBreak/>
        <w:t xml:space="preserve">CDL-C </w:t>
      </w:r>
    </w:p>
    <w:p w14:paraId="0EDE1585" w14:textId="77777777" w:rsidR="003415A9" w:rsidRPr="00901C2F" w:rsidRDefault="003415A9" w:rsidP="003415A9">
      <w:pPr>
        <w:rPr>
          <w:lang w:eastAsia="ja-JP"/>
        </w:rPr>
      </w:pPr>
      <w:r w:rsidRPr="00901C2F">
        <w:rPr>
          <w:lang w:eastAsia="ja-JP"/>
        </w:rPr>
        <w:t xml:space="preserve">Weighted rms correlation error of CDL-C model is shown in </w:t>
      </w:r>
      <w:r w:rsidRPr="005F77CA">
        <w:rPr>
          <w:lang w:eastAsia="ja-JP"/>
        </w:rPr>
        <w:fldChar w:fldCharType="begin"/>
      </w:r>
      <w:r w:rsidRPr="00901C2F">
        <w:rPr>
          <w:lang w:eastAsia="ja-JP"/>
        </w:rPr>
        <w:instrText xml:space="preserve"> REF _Ref20928662 \h </w:instrText>
      </w:r>
      <w:r w:rsidRPr="005F77CA">
        <w:rPr>
          <w:lang w:eastAsia="ja-JP"/>
        </w:rPr>
      </w:r>
      <w:r w:rsidRPr="005F77CA">
        <w:rPr>
          <w:lang w:eastAsia="ja-JP"/>
        </w:rPr>
        <w:fldChar w:fldCharType="separate"/>
      </w:r>
      <w:r w:rsidRPr="005F77CA">
        <w:t xml:space="preserve">Figure </w:t>
      </w:r>
      <w:r w:rsidRPr="00901C2F">
        <w:t>6</w:t>
      </w:r>
      <w:r w:rsidRPr="005F77CA">
        <w:rPr>
          <w:lang w:eastAsia="ja-JP"/>
        </w:rPr>
        <w:fldChar w:fldCharType="end"/>
      </w:r>
      <w:r w:rsidRPr="0084324A">
        <w:rPr>
          <w:lang w:eastAsia="ja-JP"/>
        </w:rPr>
        <w:t>. Range length of two wavelengths from the QZ</w:t>
      </w:r>
      <w:r w:rsidRPr="005F77CA">
        <w:rPr>
          <w:lang w:eastAsia="ja-JP"/>
        </w:rPr>
        <w:t xml:space="preserve"> edge would result error of 0.1</w:t>
      </w:r>
      <w:r w:rsidRPr="008F0D44">
        <w:rPr>
          <w:lang w:eastAsia="ja-JP"/>
        </w:rPr>
        <w:t xml:space="preserve">3. The 0.1 and lower correlation error would be reached at range length of </w:t>
      </w:r>
      <w:r w:rsidRPr="0084324A" w:rsidDel="00051BA0">
        <w:rPr>
          <w:rFonts w:ascii="Symbol" w:eastAsia="Symbol" w:hAnsi="Symbol" w:cs="Symbol"/>
          <w:lang w:eastAsia="ja-JP"/>
        </w:rPr>
        <w:t></w:t>
      </w:r>
      <w:r>
        <w:rPr>
          <w:lang w:eastAsia="ja-JP"/>
        </w:rPr>
        <w:t>~</w:t>
      </w:r>
      <w:r w:rsidRPr="0084324A">
        <w:rPr>
          <w:lang w:eastAsia="ja-JP"/>
        </w:rPr>
        <w:t>0</w:t>
      </w:r>
      <w:r w:rsidRPr="005F77CA">
        <w:rPr>
          <w:lang w:eastAsia="ja-JP"/>
        </w:rPr>
        <w:t>.4</w:t>
      </w:r>
      <w:r w:rsidRPr="008F0D44">
        <w:rPr>
          <w:lang w:eastAsia="ja-JP"/>
        </w:rPr>
        <w:t>m or longer. The angular dispersion of CDL-C</w:t>
      </w:r>
      <w:r w:rsidRPr="00901C2F">
        <w:rPr>
          <w:lang w:eastAsia="ja-JP"/>
        </w:rPr>
        <w:t xml:space="preserve"> is clearly wider than that of CDL-A model. </w:t>
      </w:r>
      <w:proofErr w:type="gramStart"/>
      <w:r w:rsidRPr="00901C2F">
        <w:rPr>
          <w:lang w:eastAsia="ja-JP"/>
        </w:rPr>
        <w:t>As a consequence</w:t>
      </w:r>
      <w:proofErr w:type="gramEnd"/>
      <w:r w:rsidRPr="00901C2F">
        <w:rPr>
          <w:lang w:eastAsia="ja-JP"/>
        </w:rPr>
        <w:t>, this case is not that sensitive to limited range length. The error floor is a consequence of probe directions.</w:t>
      </w:r>
    </w:p>
    <w:p w14:paraId="78EC5AEA" w14:textId="77777777" w:rsidR="003415A9" w:rsidRPr="0084324A" w:rsidRDefault="003415A9" w:rsidP="003415A9">
      <w:pPr>
        <w:ind w:left="48"/>
        <w:rPr>
          <w:lang w:eastAsia="ja-JP"/>
        </w:rPr>
      </w:pPr>
      <w:r w:rsidRPr="00901C2F">
        <w:rPr>
          <w:noProof/>
          <w:lang w:eastAsia="ja-JP"/>
        </w:rPr>
        <w:drawing>
          <wp:inline distT="0" distB="0" distL="0" distR="0" wp14:anchorId="37DAB4BF" wp14:editId="5C54CC71">
            <wp:extent cx="5613845" cy="4320000"/>
            <wp:effectExtent l="0" t="0" r="6350" b="4445"/>
            <wp:docPr id="25" name="Picture 25"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loka_CDL-C_probes+rays_disc.png"/>
                    <pic:cNvPicPr/>
                  </pic:nvPicPr>
                  <pic:blipFill>
                    <a:blip r:embed="rId18">
                      <a:extLst>
                        <a:ext uri="{28A0092B-C50C-407E-A947-70E740481C1C}">
                          <a14:useLocalDpi xmlns:a14="http://schemas.microsoft.com/office/drawing/2010/main" val="0"/>
                        </a:ext>
                      </a:extLst>
                    </a:blip>
                    <a:stretch>
                      <a:fillRect/>
                    </a:stretch>
                  </pic:blipFill>
                  <pic:spPr>
                    <a:xfrm>
                      <a:off x="0" y="0"/>
                      <a:ext cx="5613845" cy="4320000"/>
                    </a:xfrm>
                    <a:prstGeom prst="rect">
                      <a:avLst/>
                    </a:prstGeom>
                  </pic:spPr>
                </pic:pic>
              </a:graphicData>
            </a:graphic>
          </wp:inline>
        </w:drawing>
      </w:r>
    </w:p>
    <w:p w14:paraId="1E68CDC7" w14:textId="77777777" w:rsidR="003415A9" w:rsidRPr="008F0D44" w:rsidRDefault="003415A9" w:rsidP="003415A9">
      <w:pPr>
        <w:pStyle w:val="Caption"/>
        <w:rPr>
          <w:lang w:eastAsia="ja-JP"/>
        </w:rPr>
      </w:pPr>
      <w:bookmarkStart w:id="12" w:name="_Ref20928090"/>
      <w:r w:rsidRPr="005F77CA">
        <w:t xml:space="preserve">Figure </w:t>
      </w:r>
      <w:r w:rsidRPr="005F77CA">
        <w:fldChar w:fldCharType="begin"/>
      </w:r>
      <w:r w:rsidRPr="00901C2F">
        <w:instrText xml:space="preserve"> SEQ Figure \* ARABIC </w:instrText>
      </w:r>
      <w:r w:rsidRPr="005F77CA">
        <w:fldChar w:fldCharType="separate"/>
      </w:r>
      <w:r w:rsidRPr="00901C2F">
        <w:t>5</w:t>
      </w:r>
      <w:r w:rsidRPr="005F77CA">
        <w:fldChar w:fldCharType="end"/>
      </w:r>
      <w:bookmarkEnd w:id="12"/>
      <w:r w:rsidRPr="0084324A">
        <w:t xml:space="preserve">. </w:t>
      </w:r>
      <w:r w:rsidRPr="005F77CA">
        <w:t xml:space="preserve">Probes, rays and QZ sample points. CDL-C model at 7.125GHz, probes are placed two wavelengths from the QZ edge. Rays </w:t>
      </w:r>
      <w:r w:rsidRPr="008F0D44">
        <w:t>are denoted with circles and their powers are colour coded in dB scale. QZ sampling points are black dots.</w:t>
      </w:r>
    </w:p>
    <w:p w14:paraId="35AB0E0E" w14:textId="77777777" w:rsidR="003415A9" w:rsidRPr="00901C2F" w:rsidRDefault="003415A9" w:rsidP="003415A9">
      <w:pPr>
        <w:ind w:left="48"/>
        <w:rPr>
          <w:lang w:eastAsia="ja-JP"/>
        </w:rPr>
      </w:pPr>
    </w:p>
    <w:p w14:paraId="7E4702DA" w14:textId="77777777" w:rsidR="003415A9" w:rsidRPr="0084324A" w:rsidRDefault="003415A9" w:rsidP="003415A9">
      <w:pPr>
        <w:ind w:left="48"/>
        <w:rPr>
          <w:lang w:eastAsia="ja-JP"/>
        </w:rPr>
      </w:pPr>
      <w:r w:rsidRPr="00901C2F">
        <w:rPr>
          <w:noProof/>
          <w:lang w:eastAsia="ja-JP"/>
        </w:rPr>
        <w:lastRenderedPageBreak/>
        <w:drawing>
          <wp:inline distT="0" distB="0" distL="0" distR="0" wp14:anchorId="3C33E8B6" wp14:editId="2E7369E8">
            <wp:extent cx="5354609" cy="3960000"/>
            <wp:effectExtent l="0" t="0" r="0" b="2540"/>
            <wp:docPr id="24" name="Picture 24" descr="A screenshot of a cell phone&#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loka_CDL-C_Rlength_disc.png"/>
                    <pic:cNvPicPr/>
                  </pic:nvPicPr>
                  <pic:blipFill>
                    <a:blip r:embed="rId19">
                      <a:extLst>
                        <a:ext uri="{28A0092B-C50C-407E-A947-70E740481C1C}">
                          <a14:useLocalDpi xmlns:a14="http://schemas.microsoft.com/office/drawing/2010/main" val="0"/>
                        </a:ext>
                      </a:extLst>
                    </a:blip>
                    <a:stretch>
                      <a:fillRect/>
                    </a:stretch>
                  </pic:blipFill>
                  <pic:spPr>
                    <a:xfrm>
                      <a:off x="0" y="0"/>
                      <a:ext cx="5354609" cy="3960000"/>
                    </a:xfrm>
                    <a:prstGeom prst="rect">
                      <a:avLst/>
                    </a:prstGeom>
                  </pic:spPr>
                </pic:pic>
              </a:graphicData>
            </a:graphic>
          </wp:inline>
        </w:drawing>
      </w:r>
    </w:p>
    <w:p w14:paraId="05456840" w14:textId="77777777" w:rsidR="003415A9" w:rsidRPr="005F77CA" w:rsidRDefault="003415A9" w:rsidP="003415A9">
      <w:pPr>
        <w:pStyle w:val="Caption"/>
        <w:rPr>
          <w:lang w:eastAsia="ja-JP"/>
        </w:rPr>
      </w:pPr>
      <w:bookmarkStart w:id="13" w:name="_Ref20928662"/>
      <w:r w:rsidRPr="005F77CA">
        <w:t xml:space="preserve">Figure </w:t>
      </w:r>
      <w:r w:rsidRPr="005F77CA">
        <w:fldChar w:fldCharType="begin"/>
      </w:r>
      <w:r w:rsidRPr="00901C2F">
        <w:instrText xml:space="preserve"> SEQ Figure \* ARABIC </w:instrText>
      </w:r>
      <w:r w:rsidRPr="005F77CA">
        <w:fldChar w:fldCharType="separate"/>
      </w:r>
      <w:r w:rsidRPr="00901C2F">
        <w:t>6</w:t>
      </w:r>
      <w:r w:rsidRPr="005F77CA">
        <w:fldChar w:fldCharType="end"/>
      </w:r>
      <w:bookmarkEnd w:id="13"/>
      <w:r w:rsidRPr="0084324A">
        <w:t>. Weighted rms correlation error vs. range length. CDL-A model at 7.125GHz with eight optimized probe directions.</w:t>
      </w:r>
      <w:r w:rsidRPr="005F77CA">
        <w:t xml:space="preserve"> The range length axis is both in wavelengths (top) and in metres (bottom).</w:t>
      </w:r>
    </w:p>
    <w:p w14:paraId="52BD06E3" w14:textId="77777777" w:rsidR="003415A9" w:rsidRDefault="003415A9" w:rsidP="003415A9">
      <w:pPr>
        <w:ind w:left="48"/>
        <w:rPr>
          <w:lang w:eastAsia="ja-JP"/>
        </w:rPr>
      </w:pPr>
    </w:p>
    <w:p w14:paraId="38BE0FAD" w14:textId="77777777" w:rsidR="003415A9" w:rsidRDefault="003415A9" w:rsidP="003415A9">
      <w:pPr>
        <w:ind w:left="48"/>
        <w:rPr>
          <w:lang w:eastAsia="ja-JP"/>
        </w:rPr>
      </w:pPr>
      <w:r>
        <w:rPr>
          <w:lang w:eastAsia="ja-JP"/>
        </w:rPr>
        <w:t xml:space="preserve">The results for the CDL-C models when compared to the results for the CDL-A channel model clearly show an effect of the channel model on the range length for NR FR1 MPAC systems.  </w:t>
      </w:r>
    </w:p>
    <w:p w14:paraId="6E6C3830" w14:textId="77777777" w:rsidR="003415A9" w:rsidRDefault="003415A9" w:rsidP="003415A9">
      <w:pPr>
        <w:pStyle w:val="Caption"/>
        <w:rPr>
          <w:lang w:eastAsia="ja-JP"/>
        </w:rPr>
      </w:pPr>
      <w:bookmarkStart w:id="14" w:name="_Ref21007873"/>
      <w:r>
        <w:t xml:space="preserve">Observation </w:t>
      </w:r>
      <w:r>
        <w:fldChar w:fldCharType="begin"/>
      </w:r>
      <w:r>
        <w:instrText xml:space="preserve"> SEQ Observation \* ARABIC </w:instrText>
      </w:r>
      <w:r>
        <w:fldChar w:fldCharType="separate"/>
      </w:r>
      <w:r>
        <w:rPr>
          <w:noProof/>
        </w:rPr>
        <w:t>3</w:t>
      </w:r>
      <w:r>
        <w:fldChar w:fldCharType="end"/>
      </w:r>
      <w:r>
        <w:t xml:space="preserve">: The channel model </w:t>
      </w:r>
      <w:proofErr w:type="gramStart"/>
      <w:r>
        <w:t>has an effect on</w:t>
      </w:r>
      <w:proofErr w:type="gramEnd"/>
      <w:r>
        <w:t xml:space="preserve"> the range length</w:t>
      </w:r>
      <w:bookmarkEnd w:id="14"/>
    </w:p>
    <w:p w14:paraId="48B46932" w14:textId="77777777" w:rsidR="003415A9" w:rsidRDefault="003415A9" w:rsidP="003415A9">
      <w:pPr>
        <w:ind w:left="48"/>
        <w:rPr>
          <w:lang w:eastAsia="ja-JP"/>
        </w:rPr>
      </w:pPr>
      <w:r>
        <w:rPr>
          <w:lang w:eastAsia="ja-JP"/>
        </w:rPr>
        <w:t>The results in this contribution for 7.125GHz clearly show that the minimum measurement distance for NR MIMO OTA MPAC systems cannot be generalized to be 2</w:t>
      </w:r>
      <w:r w:rsidRPr="003B130B">
        <w:rPr>
          <w:rFonts w:ascii="Symbol" w:hAnsi="Symbol"/>
          <w:lang w:eastAsia="ja-JP"/>
        </w:rPr>
        <w:t></w:t>
      </w:r>
      <w:r>
        <w:rPr>
          <w:lang w:eastAsia="ja-JP"/>
        </w:rPr>
        <w:t xml:space="preserve"> from the test zone edge. </w:t>
      </w:r>
    </w:p>
    <w:p w14:paraId="4C348266" w14:textId="77777777" w:rsidR="003415A9" w:rsidRPr="00304AD0" w:rsidRDefault="003415A9" w:rsidP="003415A9">
      <w:pPr>
        <w:ind w:left="48"/>
        <w:rPr>
          <w:lang w:eastAsia="ja-JP"/>
        </w:rPr>
      </w:pPr>
      <w:r>
        <w:rPr>
          <w:lang w:eastAsia="ja-JP"/>
        </w:rPr>
        <w:t>M</w:t>
      </w:r>
      <w:r w:rsidRPr="00F35C42">
        <w:rPr>
          <w:lang w:eastAsia="ja-JP"/>
        </w:rPr>
        <w:t>ost commercial</w:t>
      </w:r>
      <w:r w:rsidRPr="00304AD0">
        <w:rPr>
          <w:lang w:eastAsia="ja-JP"/>
        </w:rPr>
        <w:t xml:space="preserve"> LTE MIMO OTA MPAC systems have a minimum of 1.2m range length to support both </w:t>
      </w:r>
    </w:p>
    <w:p w14:paraId="157B57BA" w14:textId="77777777" w:rsidR="003415A9" w:rsidRPr="003A3CE8" w:rsidRDefault="003415A9" w:rsidP="003415A9">
      <w:pPr>
        <w:pStyle w:val="ListParagraph"/>
        <w:numPr>
          <w:ilvl w:val="0"/>
          <w:numId w:val="39"/>
        </w:numPr>
        <w:rPr>
          <w:rFonts w:ascii="Times New Roman" w:hAnsi="Times New Roman"/>
          <w:sz w:val="20"/>
          <w:szCs w:val="20"/>
          <w:lang w:val="en-GB" w:eastAsia="ja-JP"/>
        </w:rPr>
      </w:pPr>
      <w:r w:rsidRPr="003A3CE8">
        <w:rPr>
          <w:rFonts w:ascii="Times New Roman" w:hAnsi="Times New Roman"/>
          <w:sz w:val="20"/>
          <w:szCs w:val="20"/>
          <w:lang w:eastAsia="ja-JP"/>
        </w:rPr>
        <w:t>low-frequencies below 1GHz where R</w:t>
      </w:r>
      <w:r w:rsidRPr="003A3CE8">
        <w:rPr>
          <w:rFonts w:ascii="Times New Roman" w:hAnsi="Times New Roman"/>
          <w:sz w:val="20"/>
          <w:szCs w:val="20"/>
          <w:vertAlign w:val="subscript"/>
          <w:lang w:eastAsia="ja-JP"/>
        </w:rPr>
        <w:t>TZ</w:t>
      </w:r>
      <w:r w:rsidRPr="003A3CE8">
        <w:rPr>
          <w:rFonts w:ascii="Times New Roman" w:hAnsi="Times New Roman"/>
          <w:sz w:val="20"/>
          <w:szCs w:val="20"/>
          <w:lang w:eastAsia="ja-JP"/>
        </w:rPr>
        <w:t>+2</w:t>
      </w:r>
      <w:r w:rsidRPr="003A3CE8">
        <w:rPr>
          <w:rFonts w:ascii="Symbol" w:hAnsi="Symbol"/>
          <w:sz w:val="20"/>
          <w:szCs w:val="20"/>
          <w:lang w:eastAsia="ja-JP"/>
        </w:rPr>
        <w:t></w:t>
      </w:r>
      <w:r w:rsidRPr="003A3CE8">
        <w:rPr>
          <w:rFonts w:ascii="Symbol" w:hAnsi="Symbol"/>
          <w:sz w:val="20"/>
          <w:szCs w:val="20"/>
          <w:lang w:eastAsia="ja-JP"/>
        </w:rPr>
        <w:t></w:t>
      </w:r>
      <w:r w:rsidRPr="003A3CE8">
        <w:rPr>
          <w:rFonts w:ascii="Times New Roman" w:hAnsi="Times New Roman"/>
          <w:sz w:val="20"/>
          <w:szCs w:val="20"/>
          <w:lang w:eastAsia="ja-JP"/>
        </w:rPr>
        <w:t xml:space="preserve">exceeds 1m for &lt;600MHz </w:t>
      </w:r>
      <w:r w:rsidRPr="00304AD0">
        <w:rPr>
          <w:rFonts w:ascii="Times New Roman" w:hAnsi="Times New Roman"/>
          <w:sz w:val="20"/>
          <w:szCs w:val="20"/>
          <w:lang w:eastAsia="ja-JP"/>
        </w:rPr>
        <w:t>(</w:t>
      </w:r>
      <w:r w:rsidRPr="00304AD0">
        <w:rPr>
          <w:rFonts w:ascii="Times New Roman" w:hAnsi="Times New Roman"/>
          <w:sz w:val="20"/>
          <w:szCs w:val="20"/>
          <w:lang w:eastAsia="ja-JP"/>
        </w:rPr>
        <w:fldChar w:fldCharType="begin"/>
      </w:r>
      <w:r w:rsidRPr="00304AD0">
        <w:rPr>
          <w:rFonts w:ascii="Times New Roman" w:hAnsi="Times New Roman"/>
          <w:sz w:val="20"/>
          <w:szCs w:val="20"/>
          <w:lang w:eastAsia="ja-JP"/>
        </w:rPr>
        <w:instrText xml:space="preserve"> REF _Ref21002342 \h  \* MERGEFORMAT </w:instrText>
      </w:r>
      <w:r w:rsidRPr="00304AD0">
        <w:rPr>
          <w:rFonts w:ascii="Times New Roman" w:hAnsi="Times New Roman"/>
          <w:sz w:val="20"/>
          <w:szCs w:val="20"/>
          <w:lang w:eastAsia="ja-JP"/>
        </w:rPr>
      </w:r>
      <w:r w:rsidRPr="003A3CE8">
        <w:rPr>
          <w:rFonts w:ascii="Times New Roman" w:hAnsi="Times New Roman"/>
          <w:sz w:val="20"/>
          <w:szCs w:val="20"/>
          <w:lang w:eastAsia="ja-JP"/>
        </w:rPr>
        <w:fldChar w:fldCharType="separate"/>
      </w:r>
      <w:r w:rsidRPr="003A3CE8">
        <w:rPr>
          <w:rFonts w:ascii="Times New Roman" w:hAnsi="Times New Roman"/>
          <w:sz w:val="20"/>
          <w:szCs w:val="20"/>
        </w:rPr>
        <w:t xml:space="preserve">Table </w:t>
      </w:r>
      <w:r w:rsidRPr="003A3CE8">
        <w:rPr>
          <w:rFonts w:ascii="Times New Roman" w:hAnsi="Times New Roman"/>
          <w:noProof/>
          <w:sz w:val="20"/>
          <w:szCs w:val="20"/>
        </w:rPr>
        <w:t>1</w:t>
      </w:r>
      <w:r w:rsidRPr="00304AD0">
        <w:rPr>
          <w:rFonts w:ascii="Times New Roman" w:hAnsi="Times New Roman"/>
          <w:sz w:val="20"/>
          <w:szCs w:val="20"/>
          <w:lang w:eastAsia="ja-JP"/>
        </w:rPr>
        <w:fldChar w:fldCharType="end"/>
      </w:r>
      <w:r w:rsidRPr="00304AD0">
        <w:rPr>
          <w:rFonts w:ascii="Times New Roman" w:hAnsi="Times New Roman"/>
          <w:sz w:val="20"/>
          <w:szCs w:val="20"/>
          <w:lang w:eastAsia="ja-JP"/>
        </w:rPr>
        <w:t>)</w:t>
      </w:r>
      <w:r>
        <w:rPr>
          <w:rFonts w:ascii="Times New Roman" w:hAnsi="Times New Roman"/>
          <w:sz w:val="20"/>
          <w:szCs w:val="20"/>
          <w:lang w:eastAsia="ja-JP"/>
        </w:rPr>
        <w:t xml:space="preserve"> </w:t>
      </w:r>
      <w:r w:rsidRPr="003A3CE8">
        <w:rPr>
          <w:rFonts w:ascii="Times New Roman" w:hAnsi="Times New Roman"/>
          <w:sz w:val="20"/>
          <w:szCs w:val="20"/>
          <w:lang w:eastAsia="ja-JP"/>
        </w:rPr>
        <w:t xml:space="preserve">and </w:t>
      </w:r>
    </w:p>
    <w:p w14:paraId="37E137CA" w14:textId="77777777" w:rsidR="003415A9" w:rsidRPr="003A3CE8" w:rsidRDefault="003415A9" w:rsidP="003415A9">
      <w:pPr>
        <w:pStyle w:val="ListParagraph"/>
        <w:numPr>
          <w:ilvl w:val="0"/>
          <w:numId w:val="39"/>
        </w:numPr>
        <w:rPr>
          <w:rFonts w:ascii="Times New Roman" w:hAnsi="Times New Roman"/>
          <w:sz w:val="20"/>
          <w:szCs w:val="20"/>
          <w:lang w:val="en-GB" w:eastAsia="ja-JP"/>
        </w:rPr>
      </w:pPr>
      <w:r w:rsidRPr="003A3CE8">
        <w:rPr>
          <w:rFonts w:ascii="Times New Roman" w:hAnsi="Times New Roman"/>
          <w:sz w:val="20"/>
          <w:szCs w:val="20"/>
          <w:lang w:eastAsia="ja-JP"/>
        </w:rPr>
        <w:t>SISO OTA tests with at least one probe</w:t>
      </w:r>
    </w:p>
    <w:p w14:paraId="56260338" w14:textId="77777777" w:rsidR="003415A9" w:rsidRDefault="003415A9" w:rsidP="003415A9">
      <w:pPr>
        <w:rPr>
          <w:lang w:eastAsia="ja-JP"/>
        </w:rPr>
      </w:pPr>
      <w:r>
        <w:rPr>
          <w:lang w:eastAsia="ja-JP"/>
        </w:rPr>
        <w:t xml:space="preserve">Given the commercial desire from industry to re-use those LTE MIMO OTA MPAC systems as much as possible, a change of min range length beyond 1.2m for frequencies above 600MHz is not desirable. </w:t>
      </w:r>
    </w:p>
    <w:p w14:paraId="0B565616" w14:textId="77777777" w:rsidR="003415A9" w:rsidRDefault="003415A9" w:rsidP="003415A9">
      <w:pPr>
        <w:rPr>
          <w:lang w:eastAsia="ja-JP"/>
        </w:rPr>
      </w:pPr>
      <w:r>
        <w:rPr>
          <w:lang w:eastAsia="ja-JP"/>
        </w:rPr>
        <w:t xml:space="preserve">It is proposed to define a minimum range length other than the </w:t>
      </w:r>
      <w:r w:rsidRPr="008105EA">
        <w:rPr>
          <w:lang w:eastAsia="ja-JP"/>
        </w:rPr>
        <w:t>R</w:t>
      </w:r>
      <w:r w:rsidRPr="008105EA">
        <w:rPr>
          <w:vertAlign w:val="subscript"/>
          <w:lang w:eastAsia="ja-JP"/>
        </w:rPr>
        <w:t>TZ</w:t>
      </w:r>
      <w:r w:rsidRPr="008105EA">
        <w:rPr>
          <w:lang w:eastAsia="ja-JP"/>
        </w:rPr>
        <w:t>+2</w:t>
      </w:r>
      <w:r w:rsidRPr="008105EA">
        <w:rPr>
          <w:rFonts w:ascii="Symbol" w:hAnsi="Symbol"/>
          <w:lang w:eastAsia="ja-JP"/>
        </w:rPr>
        <w:t></w:t>
      </w:r>
      <w:r>
        <w:rPr>
          <w:rFonts w:ascii="Symbol" w:hAnsi="Symbol"/>
          <w:lang w:eastAsia="ja-JP"/>
        </w:rPr>
        <w:t></w:t>
      </w:r>
      <w:r>
        <w:rPr>
          <w:rFonts w:ascii="Symbol" w:hAnsi="Symbol"/>
          <w:lang w:eastAsia="ja-JP"/>
        </w:rPr>
        <w:t></w:t>
      </w:r>
      <w:r>
        <w:rPr>
          <w:lang w:eastAsia="ja-JP"/>
        </w:rPr>
        <w:t xml:space="preserve">for NR FR1 MPAC systems, especially for systems covering just the mid to high bands, </w:t>
      </w:r>
      <w:proofErr w:type="gramStart"/>
      <w:r>
        <w:rPr>
          <w:lang w:eastAsia="ja-JP"/>
        </w:rPr>
        <w:t>in order to</w:t>
      </w:r>
      <w:proofErr w:type="gramEnd"/>
      <w:r>
        <w:rPr>
          <w:lang w:eastAsia="ja-JP"/>
        </w:rPr>
        <w:t xml:space="preserve"> guarantee consistency between different systems, e.g., 1 or 1.2m. </w:t>
      </w:r>
    </w:p>
    <w:p w14:paraId="0A313C33" w14:textId="77777777" w:rsidR="003415A9" w:rsidRDefault="003415A9" w:rsidP="003415A9">
      <w:pPr>
        <w:pStyle w:val="Caption"/>
        <w:rPr>
          <w:lang w:eastAsia="ja-JP"/>
        </w:rPr>
      </w:pPr>
      <w:bookmarkStart w:id="15" w:name="_Ref21007938"/>
      <w:r>
        <w:t xml:space="preserve">Proposal </w:t>
      </w:r>
      <w:r>
        <w:fldChar w:fldCharType="begin"/>
      </w:r>
      <w:r>
        <w:instrText xml:space="preserve"> SEQ Proposal \* ARABIC </w:instrText>
      </w:r>
      <w:r>
        <w:fldChar w:fldCharType="separate"/>
      </w:r>
      <w:r>
        <w:rPr>
          <w:noProof/>
        </w:rPr>
        <w:t>1</w:t>
      </w:r>
      <w:r>
        <w:fldChar w:fldCharType="end"/>
      </w:r>
      <w:r>
        <w:t>: Define</w:t>
      </w:r>
      <w:r w:rsidRPr="00BA5B35">
        <w:rPr>
          <w:lang w:eastAsia="ja-JP"/>
        </w:rPr>
        <w:t xml:space="preserve"> </w:t>
      </w:r>
      <w:r>
        <w:rPr>
          <w:lang w:eastAsia="ja-JP"/>
        </w:rPr>
        <w:t xml:space="preserve">a minimum range length other than the </w:t>
      </w:r>
      <w:r w:rsidRPr="008105EA">
        <w:rPr>
          <w:lang w:eastAsia="ja-JP"/>
        </w:rPr>
        <w:t>R</w:t>
      </w:r>
      <w:r w:rsidRPr="008105EA">
        <w:rPr>
          <w:vertAlign w:val="subscript"/>
          <w:lang w:eastAsia="ja-JP"/>
        </w:rPr>
        <w:t>TZ</w:t>
      </w:r>
      <w:r w:rsidRPr="008105EA">
        <w:rPr>
          <w:lang w:eastAsia="ja-JP"/>
        </w:rPr>
        <w:t>+2</w:t>
      </w:r>
      <w:r w:rsidRPr="008105EA">
        <w:rPr>
          <w:rFonts w:ascii="Symbol" w:hAnsi="Symbol"/>
          <w:lang w:eastAsia="ja-JP"/>
        </w:rPr>
        <w:t></w:t>
      </w:r>
      <w:r>
        <w:rPr>
          <w:rFonts w:ascii="Symbol" w:hAnsi="Symbol"/>
          <w:lang w:eastAsia="ja-JP"/>
        </w:rPr>
        <w:t></w:t>
      </w:r>
      <w:r>
        <w:rPr>
          <w:rFonts w:ascii="Symbol" w:hAnsi="Symbol"/>
          <w:lang w:eastAsia="ja-JP"/>
        </w:rPr>
        <w:t></w:t>
      </w:r>
      <w:r>
        <w:rPr>
          <w:lang w:eastAsia="ja-JP"/>
        </w:rPr>
        <w:t xml:space="preserve">for NR FR1 MPAC systems, especially for systems covering just the mid to high bands, </w:t>
      </w:r>
      <w:proofErr w:type="gramStart"/>
      <w:r>
        <w:rPr>
          <w:lang w:eastAsia="ja-JP"/>
        </w:rPr>
        <w:t>in order to</w:t>
      </w:r>
      <w:proofErr w:type="gramEnd"/>
      <w:r>
        <w:rPr>
          <w:lang w:eastAsia="ja-JP"/>
        </w:rPr>
        <w:t xml:space="preserve"> guarantee consistency between different systems</w:t>
      </w:r>
      <w:bookmarkEnd w:id="15"/>
    </w:p>
    <w:p w14:paraId="1DDF1877" w14:textId="77777777" w:rsidR="003415A9" w:rsidRPr="00304AD0" w:rsidRDefault="003415A9" w:rsidP="003415A9">
      <w:pPr>
        <w:rPr>
          <w:lang w:eastAsia="ja-JP"/>
        </w:rPr>
      </w:pPr>
    </w:p>
    <w:p w14:paraId="7C845463" w14:textId="77777777" w:rsidR="003415A9" w:rsidRPr="00901C2F" w:rsidRDefault="003415A9" w:rsidP="003415A9">
      <w:pPr>
        <w:ind w:left="48"/>
        <w:rPr>
          <w:lang w:eastAsia="ja-JP"/>
        </w:rPr>
      </w:pPr>
    </w:p>
    <w:bookmarkEnd w:id="2"/>
    <w:p w14:paraId="7BA65751" w14:textId="77777777" w:rsidR="003415A9" w:rsidRPr="00901C2F" w:rsidRDefault="003415A9" w:rsidP="003415A9">
      <w:pPr>
        <w:pStyle w:val="Heading1"/>
        <w:ind w:left="567" w:hanging="567"/>
      </w:pPr>
      <w:r w:rsidRPr="008F0D44">
        <w:lastRenderedPageBreak/>
        <w:t>Conclusion</w:t>
      </w:r>
    </w:p>
    <w:p w14:paraId="3770BA48" w14:textId="77777777" w:rsidR="003415A9" w:rsidRPr="003C06AA" w:rsidRDefault="003415A9" w:rsidP="003415A9">
      <w:r w:rsidRPr="005F77CA">
        <w:t xml:space="preserve">This contribution is reviewing the previous agreement made in RAN4#91 on </w:t>
      </w:r>
      <w:r>
        <w:t>range lengths</w:t>
      </w:r>
      <w:r w:rsidRPr="005F77CA">
        <w:t xml:space="preserve"> for NR FR1 MIMO OTA MPAC systems</w:t>
      </w:r>
      <w:r>
        <w:t xml:space="preserve">. </w:t>
      </w:r>
      <w:r w:rsidRPr="003C06AA">
        <w:t>The following observations and proposals were made in this contribution:</w:t>
      </w:r>
    </w:p>
    <w:p w14:paraId="7AA73FBC" w14:textId="77777777" w:rsidR="003415A9" w:rsidRPr="003C06AA" w:rsidRDefault="003415A9" w:rsidP="003415A9">
      <w:pPr>
        <w:rPr>
          <w:b/>
        </w:rPr>
      </w:pPr>
      <w:r w:rsidRPr="003C06AA">
        <w:rPr>
          <w:b/>
        </w:rPr>
        <w:fldChar w:fldCharType="begin"/>
      </w:r>
      <w:r w:rsidRPr="003C06AA">
        <w:rPr>
          <w:b/>
        </w:rPr>
        <w:instrText xml:space="preserve"> REF _Ref21007850 \h </w:instrText>
      </w:r>
      <w:r>
        <w:rPr>
          <w:b/>
        </w:rPr>
        <w:instrText xml:space="preserve"> \* MERGEFORMAT </w:instrText>
      </w:r>
      <w:r w:rsidRPr="003C06AA">
        <w:rPr>
          <w:b/>
        </w:rPr>
      </w:r>
      <w:r w:rsidRPr="003C06AA">
        <w:rPr>
          <w:b/>
        </w:rPr>
        <w:fldChar w:fldCharType="separate"/>
      </w:r>
      <w:r w:rsidRPr="003C06AA">
        <w:rPr>
          <w:b/>
        </w:rPr>
        <w:t xml:space="preserve">Observation </w:t>
      </w:r>
      <w:r w:rsidRPr="003C06AA">
        <w:rPr>
          <w:b/>
          <w:noProof/>
        </w:rPr>
        <w:t>1</w:t>
      </w:r>
      <w:r w:rsidRPr="003C06AA">
        <w:rPr>
          <w:b/>
        </w:rPr>
        <w:t>: The range lengths for frequencies beyond 1GHz and especially beyond 3GHz do not seem practical for an 8-probe sectorized or 16 uniform probe configurations</w:t>
      </w:r>
      <w:r w:rsidRPr="003C06AA">
        <w:rPr>
          <w:b/>
        </w:rPr>
        <w:fldChar w:fldCharType="end"/>
      </w:r>
    </w:p>
    <w:p w14:paraId="7D44F87E" w14:textId="77777777" w:rsidR="003415A9" w:rsidRPr="003C06AA" w:rsidRDefault="003415A9" w:rsidP="003415A9">
      <w:pPr>
        <w:rPr>
          <w:b/>
        </w:rPr>
      </w:pPr>
      <w:r w:rsidRPr="003C06AA">
        <w:rPr>
          <w:b/>
        </w:rPr>
        <w:fldChar w:fldCharType="begin"/>
      </w:r>
      <w:r w:rsidRPr="003C06AA">
        <w:rPr>
          <w:b/>
        </w:rPr>
        <w:instrText xml:space="preserve"> REF _Ref21007928 \h </w:instrText>
      </w:r>
      <w:r>
        <w:rPr>
          <w:b/>
        </w:rPr>
        <w:instrText xml:space="preserve"> \* MERGEFORMAT </w:instrText>
      </w:r>
      <w:r w:rsidRPr="003C06AA">
        <w:rPr>
          <w:b/>
        </w:rPr>
      </w:r>
      <w:r w:rsidRPr="003C06AA">
        <w:rPr>
          <w:b/>
        </w:rPr>
        <w:fldChar w:fldCharType="separate"/>
      </w:r>
      <w:r w:rsidRPr="003C06AA">
        <w:rPr>
          <w:b/>
        </w:rPr>
        <w:t xml:space="preserve">Observation </w:t>
      </w:r>
      <w:r w:rsidRPr="003C06AA">
        <w:rPr>
          <w:b/>
          <w:noProof/>
        </w:rPr>
        <w:t>2</w:t>
      </w:r>
      <w:r w:rsidRPr="003C06AA">
        <w:rPr>
          <w:b/>
        </w:rPr>
        <w:t>: The previous agreement that the range length for FR1 MIMO OTA is at least 2</w:t>
      </w:r>
      <w:r w:rsidRPr="003C06AA">
        <w:rPr>
          <w:rFonts w:ascii="Symbol" w:hAnsi="Symbol"/>
          <w:b/>
        </w:rPr>
        <w:t></w:t>
      </w:r>
      <w:r w:rsidRPr="003C06AA">
        <w:rPr>
          <w:b/>
        </w:rPr>
        <w:t xml:space="preserve"> from the edge of the test zone is not applicable for all NF FR1 frequencies given the sharp decline the weighted RMS correlation error as a function of range length.</w:t>
      </w:r>
      <w:r w:rsidRPr="003C06AA">
        <w:rPr>
          <w:b/>
        </w:rPr>
        <w:fldChar w:fldCharType="end"/>
      </w:r>
    </w:p>
    <w:p w14:paraId="59FDFAE0" w14:textId="77777777" w:rsidR="003415A9" w:rsidRPr="003C06AA" w:rsidRDefault="003415A9" w:rsidP="003415A9">
      <w:pPr>
        <w:rPr>
          <w:b/>
        </w:rPr>
      </w:pPr>
      <w:r w:rsidRPr="003C06AA">
        <w:rPr>
          <w:b/>
        </w:rPr>
        <w:fldChar w:fldCharType="begin"/>
      </w:r>
      <w:r w:rsidRPr="003C06AA">
        <w:rPr>
          <w:b/>
        </w:rPr>
        <w:instrText xml:space="preserve"> REF _Ref21007873 \h </w:instrText>
      </w:r>
      <w:r>
        <w:rPr>
          <w:b/>
        </w:rPr>
        <w:instrText xml:space="preserve"> \* MERGEFORMAT </w:instrText>
      </w:r>
      <w:r w:rsidRPr="003C06AA">
        <w:rPr>
          <w:b/>
        </w:rPr>
      </w:r>
      <w:r w:rsidRPr="003C06AA">
        <w:rPr>
          <w:b/>
        </w:rPr>
        <w:fldChar w:fldCharType="separate"/>
      </w:r>
      <w:r w:rsidRPr="003C06AA">
        <w:rPr>
          <w:b/>
        </w:rPr>
        <w:t xml:space="preserve">Observation </w:t>
      </w:r>
      <w:r w:rsidRPr="003C06AA">
        <w:rPr>
          <w:b/>
          <w:noProof/>
        </w:rPr>
        <w:t>3</w:t>
      </w:r>
      <w:r w:rsidRPr="003C06AA">
        <w:rPr>
          <w:b/>
        </w:rPr>
        <w:t xml:space="preserve">: The channel model </w:t>
      </w:r>
      <w:proofErr w:type="gramStart"/>
      <w:r w:rsidRPr="003C06AA">
        <w:rPr>
          <w:b/>
        </w:rPr>
        <w:t>has an effect on</w:t>
      </w:r>
      <w:proofErr w:type="gramEnd"/>
      <w:r w:rsidRPr="003C06AA">
        <w:rPr>
          <w:b/>
        </w:rPr>
        <w:t xml:space="preserve"> the range length</w:t>
      </w:r>
      <w:r w:rsidRPr="003C06AA">
        <w:rPr>
          <w:b/>
        </w:rPr>
        <w:fldChar w:fldCharType="end"/>
      </w:r>
    </w:p>
    <w:p w14:paraId="7F8E3C03" w14:textId="77777777" w:rsidR="003415A9" w:rsidRPr="003C06AA" w:rsidRDefault="003415A9" w:rsidP="003415A9">
      <w:pPr>
        <w:rPr>
          <w:b/>
        </w:rPr>
      </w:pPr>
      <w:r w:rsidRPr="003C06AA">
        <w:rPr>
          <w:b/>
        </w:rPr>
        <w:fldChar w:fldCharType="begin"/>
      </w:r>
      <w:r w:rsidRPr="003C06AA">
        <w:rPr>
          <w:b/>
        </w:rPr>
        <w:instrText xml:space="preserve"> REF _Ref21007938 \h </w:instrText>
      </w:r>
      <w:r>
        <w:rPr>
          <w:b/>
        </w:rPr>
        <w:instrText xml:space="preserve"> \* MERGEFORMAT </w:instrText>
      </w:r>
      <w:r w:rsidRPr="003C06AA">
        <w:rPr>
          <w:b/>
        </w:rPr>
      </w:r>
      <w:r w:rsidRPr="003C06AA">
        <w:rPr>
          <w:b/>
        </w:rPr>
        <w:fldChar w:fldCharType="separate"/>
      </w:r>
      <w:r w:rsidRPr="003C06AA">
        <w:rPr>
          <w:b/>
        </w:rPr>
        <w:t xml:space="preserve">Proposal </w:t>
      </w:r>
      <w:r w:rsidRPr="003C06AA">
        <w:rPr>
          <w:b/>
          <w:noProof/>
        </w:rPr>
        <w:t>1</w:t>
      </w:r>
      <w:r w:rsidRPr="003C06AA">
        <w:rPr>
          <w:b/>
        </w:rPr>
        <w:t>: Define</w:t>
      </w:r>
      <w:r w:rsidRPr="003C06AA">
        <w:rPr>
          <w:b/>
          <w:lang w:eastAsia="ja-JP"/>
        </w:rPr>
        <w:t xml:space="preserve"> a minimum range length other than the R</w:t>
      </w:r>
      <w:r w:rsidRPr="003C06AA">
        <w:rPr>
          <w:b/>
          <w:vertAlign w:val="subscript"/>
          <w:lang w:eastAsia="ja-JP"/>
        </w:rPr>
        <w:t>TZ</w:t>
      </w:r>
      <w:r w:rsidRPr="003C06AA">
        <w:rPr>
          <w:b/>
          <w:lang w:eastAsia="ja-JP"/>
        </w:rPr>
        <w:t>+2</w:t>
      </w:r>
      <w:r w:rsidRPr="003C06AA">
        <w:rPr>
          <w:rFonts w:ascii="Symbol" w:hAnsi="Symbol"/>
          <w:b/>
          <w:lang w:eastAsia="ja-JP"/>
        </w:rPr>
        <w:t xml:space="preserve">l, </w:t>
      </w:r>
      <w:r w:rsidRPr="003C06AA">
        <w:rPr>
          <w:b/>
          <w:lang w:eastAsia="ja-JP"/>
        </w:rPr>
        <w:t xml:space="preserve">for NR FR1 MPAC systems, especially for systems covering just the mid to high bands, </w:t>
      </w:r>
      <w:proofErr w:type="gramStart"/>
      <w:r w:rsidRPr="003C06AA">
        <w:rPr>
          <w:b/>
          <w:lang w:eastAsia="ja-JP"/>
        </w:rPr>
        <w:t>in order to</w:t>
      </w:r>
      <w:proofErr w:type="gramEnd"/>
      <w:r w:rsidRPr="003C06AA">
        <w:rPr>
          <w:b/>
          <w:lang w:eastAsia="ja-JP"/>
        </w:rPr>
        <w:t xml:space="preserve"> guarantee consistency between different systems</w:t>
      </w:r>
      <w:r w:rsidRPr="003C06AA">
        <w:rPr>
          <w:b/>
        </w:rPr>
        <w:fldChar w:fldCharType="end"/>
      </w:r>
    </w:p>
    <w:p w14:paraId="0EA13ABA" w14:textId="77777777" w:rsidR="003415A9" w:rsidRPr="005F77CA" w:rsidRDefault="003415A9" w:rsidP="003415A9">
      <w:pPr>
        <w:pStyle w:val="Heading1"/>
        <w:ind w:left="567" w:hanging="567"/>
      </w:pPr>
      <w:r w:rsidRPr="005F77CA">
        <w:t>References</w:t>
      </w:r>
    </w:p>
    <w:p w14:paraId="5A5699F5" w14:textId="77777777" w:rsidR="003415A9" w:rsidRPr="00901C2F" w:rsidRDefault="003415A9" w:rsidP="003415A9">
      <w:pPr>
        <w:pStyle w:val="ListParagraph"/>
        <w:numPr>
          <w:ilvl w:val="0"/>
          <w:numId w:val="5"/>
        </w:numPr>
        <w:rPr>
          <w:rFonts w:ascii="Times New Roman" w:eastAsia="Malgun Gothic" w:hAnsi="Times New Roman"/>
          <w:sz w:val="20"/>
          <w:szCs w:val="20"/>
          <w:lang w:val="en-GB"/>
        </w:rPr>
      </w:pPr>
      <w:bookmarkStart w:id="16" w:name="_Ref20941023"/>
      <w:bookmarkStart w:id="17" w:name="_Ref7773521"/>
      <w:bookmarkStart w:id="18" w:name="_Ref16672762"/>
      <w:r w:rsidRPr="00901C2F">
        <w:rPr>
          <w:rFonts w:ascii="Times New Roman" w:eastAsia="Malgun Gothic" w:hAnsi="Times New Roman"/>
          <w:sz w:val="20"/>
          <w:szCs w:val="20"/>
          <w:lang w:val="en-GB"/>
        </w:rPr>
        <w:t>R4-1906111, WF on NR MIMO OTA, CAICT, Spirent, vivo, Apple, SGS, 3GPP TSG-RAN WG4 Meeting #91, May 2019</w:t>
      </w:r>
      <w:bookmarkEnd w:id="16"/>
    </w:p>
    <w:p w14:paraId="475D222C" w14:textId="77777777" w:rsidR="003415A9" w:rsidRPr="00901C2F" w:rsidRDefault="003415A9" w:rsidP="003415A9">
      <w:pPr>
        <w:numPr>
          <w:ilvl w:val="0"/>
          <w:numId w:val="5"/>
        </w:numPr>
        <w:tabs>
          <w:tab w:val="left" w:pos="426"/>
        </w:tabs>
        <w:overflowPunct w:val="0"/>
        <w:autoSpaceDE w:val="0"/>
        <w:autoSpaceDN w:val="0"/>
        <w:adjustRightInd w:val="0"/>
        <w:textAlignment w:val="baseline"/>
      </w:pPr>
      <w:bookmarkStart w:id="19" w:name="_Ref20212002"/>
      <w:r w:rsidRPr="00901C2F">
        <w:t>R4-1910609, WF on NR MIMO OTA, CAICT, 3GPP TSG-RAN WG4 Meeting #92, August 2019</w:t>
      </w:r>
      <w:bookmarkEnd w:id="19"/>
    </w:p>
    <w:p w14:paraId="5AF4C77A" w14:textId="77777777" w:rsidR="003415A9" w:rsidRPr="00901C2F" w:rsidRDefault="003415A9" w:rsidP="003415A9">
      <w:pPr>
        <w:numPr>
          <w:ilvl w:val="0"/>
          <w:numId w:val="5"/>
        </w:numPr>
        <w:tabs>
          <w:tab w:val="left" w:pos="426"/>
        </w:tabs>
        <w:overflowPunct w:val="0"/>
        <w:autoSpaceDE w:val="0"/>
        <w:autoSpaceDN w:val="0"/>
        <w:adjustRightInd w:val="0"/>
        <w:textAlignment w:val="baseline"/>
      </w:pPr>
      <w:bookmarkStart w:id="20" w:name="_Ref20921443"/>
      <w:r w:rsidRPr="00901C2F">
        <w:t>R4-1906829, On 2D NR FR1 MPAC Implementations, Keysight Technologies, 3GPP TSG-RAN WG4 Meeting #91, May 2019</w:t>
      </w:r>
      <w:bookmarkEnd w:id="20"/>
    </w:p>
    <w:p w14:paraId="7B9576D2" w14:textId="77777777" w:rsidR="003415A9" w:rsidRPr="00901C2F" w:rsidRDefault="003415A9" w:rsidP="003415A9">
      <w:pPr>
        <w:numPr>
          <w:ilvl w:val="0"/>
          <w:numId w:val="5"/>
        </w:numPr>
        <w:tabs>
          <w:tab w:val="left" w:pos="426"/>
        </w:tabs>
        <w:overflowPunct w:val="0"/>
        <w:autoSpaceDE w:val="0"/>
        <w:autoSpaceDN w:val="0"/>
        <w:adjustRightInd w:val="0"/>
        <w:textAlignment w:val="baseline"/>
      </w:pPr>
      <w:bookmarkStart w:id="21" w:name="_Ref20922218"/>
      <w:r w:rsidRPr="00901C2F">
        <w:t>R4-1909728, System implementation of FR1 2D MPAC, Keysight Technologies, 3GPP TSG-RAN WG4 #92, August 2019</w:t>
      </w:r>
      <w:bookmarkEnd w:id="21"/>
    </w:p>
    <w:p w14:paraId="2FFC5EE2" w14:textId="77777777" w:rsidR="003415A9" w:rsidRPr="00901C2F" w:rsidRDefault="003415A9" w:rsidP="003415A9">
      <w:pPr>
        <w:numPr>
          <w:ilvl w:val="0"/>
          <w:numId w:val="5"/>
        </w:numPr>
        <w:tabs>
          <w:tab w:val="left" w:pos="426"/>
        </w:tabs>
        <w:overflowPunct w:val="0"/>
        <w:autoSpaceDE w:val="0"/>
        <w:autoSpaceDN w:val="0"/>
        <w:adjustRightInd w:val="0"/>
        <w:textAlignment w:val="baseline"/>
      </w:pPr>
      <w:bookmarkStart w:id="22" w:name="_Ref20942253"/>
      <w:r w:rsidRPr="00901C2F">
        <w:t>R4-1910399, TP to 38.827 on Channel Models, Keysight Technologies, Spirent Communications, 3GPP TSG-RAN WG4 #92, August 2019</w:t>
      </w:r>
      <w:bookmarkEnd w:id="22"/>
    </w:p>
    <w:p w14:paraId="7FD0E308" w14:textId="77777777" w:rsidR="003415A9" w:rsidRPr="00901C2F" w:rsidRDefault="003415A9" w:rsidP="003415A9">
      <w:pPr>
        <w:pStyle w:val="ListParagraph"/>
        <w:numPr>
          <w:ilvl w:val="0"/>
          <w:numId w:val="5"/>
        </w:numPr>
        <w:rPr>
          <w:rFonts w:ascii="Times New Roman" w:eastAsia="Malgun Gothic" w:hAnsi="Times New Roman"/>
          <w:sz w:val="20"/>
          <w:szCs w:val="20"/>
          <w:lang w:val="en-GB"/>
        </w:rPr>
      </w:pPr>
      <w:bookmarkStart w:id="23" w:name="_Ref20942308"/>
      <w:r w:rsidRPr="00901C2F">
        <w:rPr>
          <w:rFonts w:ascii="Times New Roman" w:eastAsia="Malgun Gothic" w:hAnsi="Times New Roman"/>
          <w:sz w:val="20"/>
          <w:szCs w:val="20"/>
          <w:lang w:val="en-GB"/>
        </w:rPr>
        <w:t xml:space="preserve">W. Fan, I. Carton, P. </w:t>
      </w:r>
      <w:proofErr w:type="spellStart"/>
      <w:r w:rsidRPr="00901C2F">
        <w:rPr>
          <w:rFonts w:ascii="Times New Roman" w:eastAsia="Malgun Gothic" w:hAnsi="Times New Roman"/>
          <w:sz w:val="20"/>
          <w:szCs w:val="20"/>
          <w:lang w:val="en-GB"/>
        </w:rPr>
        <w:t>Kyösti</w:t>
      </w:r>
      <w:proofErr w:type="spellEnd"/>
      <w:r w:rsidRPr="00901C2F">
        <w:rPr>
          <w:rFonts w:ascii="Times New Roman" w:eastAsia="Malgun Gothic" w:hAnsi="Times New Roman"/>
          <w:sz w:val="20"/>
          <w:szCs w:val="20"/>
          <w:lang w:val="en-GB"/>
        </w:rPr>
        <w:t xml:space="preserve">, A. </w:t>
      </w:r>
      <w:proofErr w:type="spellStart"/>
      <w:r w:rsidRPr="00901C2F">
        <w:rPr>
          <w:rFonts w:ascii="Times New Roman" w:eastAsia="Malgun Gothic" w:hAnsi="Times New Roman"/>
          <w:sz w:val="20"/>
          <w:szCs w:val="20"/>
          <w:lang w:val="en-GB"/>
        </w:rPr>
        <w:t>Karstensen</w:t>
      </w:r>
      <w:proofErr w:type="spellEnd"/>
      <w:r w:rsidRPr="00901C2F">
        <w:rPr>
          <w:rFonts w:ascii="Times New Roman" w:eastAsia="Malgun Gothic" w:hAnsi="Times New Roman"/>
          <w:sz w:val="20"/>
          <w:szCs w:val="20"/>
          <w:lang w:val="en-GB"/>
        </w:rPr>
        <w:t xml:space="preserve">, T. </w:t>
      </w:r>
      <w:proofErr w:type="spellStart"/>
      <w:r w:rsidRPr="00901C2F">
        <w:rPr>
          <w:rFonts w:ascii="Times New Roman" w:eastAsia="Malgun Gothic" w:hAnsi="Times New Roman"/>
          <w:sz w:val="20"/>
          <w:szCs w:val="20"/>
          <w:lang w:val="en-GB"/>
        </w:rPr>
        <w:t>Jämsä</w:t>
      </w:r>
      <w:proofErr w:type="spellEnd"/>
      <w:r w:rsidRPr="00901C2F">
        <w:rPr>
          <w:rFonts w:ascii="Times New Roman" w:eastAsia="Malgun Gothic" w:hAnsi="Times New Roman"/>
          <w:sz w:val="20"/>
          <w:szCs w:val="20"/>
          <w:lang w:val="en-GB"/>
        </w:rPr>
        <w:t xml:space="preserve">, M. Gustafsson, </w:t>
      </w:r>
      <w:r w:rsidRPr="0084324A">
        <w:rPr>
          <w:rFonts w:ascii="Times New Roman" w:eastAsia="Malgun Gothic" w:hAnsi="Times New Roman"/>
          <w:sz w:val="20"/>
          <w:szCs w:val="20"/>
          <w:lang w:val="en-GB"/>
        </w:rPr>
        <w:t xml:space="preserve">and G. F. Pedersen, “A step toward 5G in 2020: Low-cost OTA performance evaluation of massive MIMO base </w:t>
      </w:r>
      <w:r w:rsidRPr="005F77CA">
        <w:rPr>
          <w:rFonts w:ascii="Times New Roman" w:eastAsia="Malgun Gothic" w:hAnsi="Times New Roman"/>
          <w:sz w:val="20"/>
          <w:szCs w:val="20"/>
          <w:lang w:val="en-GB"/>
        </w:rPr>
        <w:t xml:space="preserve">stations.” IEEE Antennas </w:t>
      </w:r>
      <w:r w:rsidRPr="008F0D44">
        <w:rPr>
          <w:rFonts w:ascii="Times New Roman" w:eastAsia="Malgun Gothic" w:hAnsi="Times New Roman"/>
          <w:sz w:val="20"/>
          <w:szCs w:val="20"/>
          <w:lang w:val="en-GB"/>
        </w:rPr>
        <w:t>and Propagation Magazine, vol. 59, no. 1, pp. 38–47, Feb 2017.</w:t>
      </w:r>
      <w:bookmarkEnd w:id="17"/>
      <w:bookmarkEnd w:id="18"/>
      <w:bookmarkEnd w:id="23"/>
    </w:p>
    <w:p w14:paraId="0BA2AF6F" w14:textId="5ED384C0" w:rsidR="003415A9" w:rsidRPr="00901C2F" w:rsidRDefault="003607F2" w:rsidP="003415A9">
      <w:pPr>
        <w:pStyle w:val="ListParagraph"/>
        <w:numPr>
          <w:ilvl w:val="0"/>
          <w:numId w:val="5"/>
        </w:numPr>
        <w:rPr>
          <w:rFonts w:ascii="Times New Roman" w:eastAsia="Malgun Gothic" w:hAnsi="Times New Roman"/>
          <w:sz w:val="20"/>
          <w:szCs w:val="20"/>
          <w:lang w:val="en-GB"/>
        </w:rPr>
      </w:pPr>
      <w:bookmarkStart w:id="24" w:name="_Ref20942506"/>
      <w:r w:rsidRPr="003607F2">
        <w:rPr>
          <w:rFonts w:ascii="Times New Roman" w:eastAsia="Malgun Gothic" w:hAnsi="Times New Roman"/>
          <w:sz w:val="20"/>
          <w:szCs w:val="20"/>
          <w:lang w:val="en-GB"/>
        </w:rPr>
        <w:t>R4-1912100</w:t>
      </w:r>
      <w:r w:rsidR="003415A9" w:rsidRPr="0084324A">
        <w:rPr>
          <w:rFonts w:ascii="Times New Roman" w:eastAsia="Malgun Gothic" w:hAnsi="Times New Roman"/>
          <w:sz w:val="20"/>
          <w:szCs w:val="20"/>
          <w:lang w:val="en-GB"/>
        </w:rPr>
        <w:t xml:space="preserve">, </w:t>
      </w:r>
      <w:r w:rsidR="003415A9" w:rsidRPr="005F77CA">
        <w:rPr>
          <w:rFonts w:ascii="Times New Roman" w:eastAsia="Malgun Gothic" w:hAnsi="Times New Roman"/>
          <w:sz w:val="20"/>
          <w:szCs w:val="20"/>
          <w:lang w:val="en-GB"/>
        </w:rPr>
        <w:t xml:space="preserve">Weighted RMS Correlation Error: Option 6, </w:t>
      </w:r>
      <w:r w:rsidR="003415A9" w:rsidRPr="008F0D44">
        <w:rPr>
          <w:rFonts w:ascii="Times New Roman" w:eastAsia="Malgun Gothic" w:hAnsi="Times New Roman"/>
          <w:sz w:val="20"/>
          <w:szCs w:val="20"/>
          <w:lang w:val="en-GB"/>
        </w:rPr>
        <w:t xml:space="preserve">Keysight Technologies, Spirent Communications, </w:t>
      </w:r>
      <w:r w:rsidR="003415A9" w:rsidRPr="00901C2F">
        <w:rPr>
          <w:rFonts w:ascii="Times New Roman" w:eastAsia="Malgun Gothic" w:hAnsi="Times New Roman"/>
          <w:sz w:val="20"/>
          <w:szCs w:val="20"/>
          <w:lang w:val="en-GB"/>
        </w:rPr>
        <w:t>3GPP TSG-RAN WG4 #92bis, October 2019</w:t>
      </w:r>
      <w:bookmarkEnd w:id="24"/>
    </w:p>
    <w:p w14:paraId="35952393" w14:textId="77777777" w:rsidR="000547AB" w:rsidRPr="003415A9" w:rsidRDefault="000547AB" w:rsidP="003415A9"/>
    <w:sectPr w:rsidR="000547AB" w:rsidRPr="003415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52397" w14:textId="77777777" w:rsidR="00B822A0" w:rsidRDefault="00B822A0">
      <w:r>
        <w:separator/>
      </w:r>
    </w:p>
  </w:endnote>
  <w:endnote w:type="continuationSeparator" w:id="0">
    <w:p w14:paraId="35952398" w14:textId="77777777" w:rsidR="00B822A0" w:rsidRDefault="00B822A0">
      <w:r>
        <w:continuationSeparator/>
      </w:r>
    </w:p>
  </w:endnote>
  <w:endnote w:type="continuationNotice" w:id="1">
    <w:p w14:paraId="35952399" w14:textId="77777777" w:rsidR="00B822A0" w:rsidRDefault="00B82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52394" w14:textId="77777777" w:rsidR="00B822A0" w:rsidRDefault="00B822A0">
      <w:r>
        <w:separator/>
      </w:r>
    </w:p>
  </w:footnote>
  <w:footnote w:type="continuationSeparator" w:id="0">
    <w:p w14:paraId="35952395" w14:textId="77777777" w:rsidR="00B822A0" w:rsidRDefault="00B822A0">
      <w:r>
        <w:continuationSeparator/>
      </w:r>
    </w:p>
  </w:footnote>
  <w:footnote w:type="continuationNotice" w:id="1">
    <w:p w14:paraId="35952396" w14:textId="77777777" w:rsidR="00B822A0" w:rsidRDefault="00B822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11E8F"/>
    <w:multiLevelType w:val="hybridMultilevel"/>
    <w:tmpl w:val="2D5A63E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1B10"/>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15A9"/>
    <w:rsid w:val="00342EC7"/>
    <w:rsid w:val="00344657"/>
    <w:rsid w:val="00344BCD"/>
    <w:rsid w:val="003450DD"/>
    <w:rsid w:val="00347574"/>
    <w:rsid w:val="00353724"/>
    <w:rsid w:val="00353E42"/>
    <w:rsid w:val="003607F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51C2B"/>
    <w:rsid w:val="006537BF"/>
    <w:rsid w:val="00653DF0"/>
    <w:rsid w:val="006543EF"/>
    <w:rsid w:val="0065492A"/>
    <w:rsid w:val="00654D11"/>
    <w:rsid w:val="00656A7B"/>
    <w:rsid w:val="00661190"/>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36F"/>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purl.org/dc/terms/"/>
    <ds:schemaRef ds:uri="http://schemas.microsoft.com/office/2006/documentManagement/types"/>
    <ds:schemaRef ds:uri="bdd78157-346c-4767-bfdd-352789a5c5f1"/>
    <ds:schemaRef ds:uri="http://purl.org/dc/elements/1.1/"/>
    <ds:schemaRef ds:uri="http://schemas.microsoft.com/office/infopath/2007/PartnerControls"/>
    <ds:schemaRef ds:uri="878f5c59-aec9-459c-acf8-8cf941473193"/>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FBD9F55-FB5A-4E28-8E42-99ECFA84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1500</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(KS)</dc:creator>
  <cp:keywords/>
  <dc:description/>
  <cp:lastModifiedBy>Thorsten Hertel (KS)</cp:lastModifiedBy>
  <cp:revision>6</cp:revision>
  <dcterms:created xsi:type="dcterms:W3CDTF">2019-10-04T15:42:00Z</dcterms:created>
  <dcterms:modified xsi:type="dcterms:W3CDTF">2019-10-04T15:46:00Z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